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30" w:rsidRPr="00A32835" w:rsidRDefault="00AF0230" w:rsidP="00AF0230">
      <w:pPr>
        <w:pStyle w:val="NormalWeb"/>
        <w:spacing w:before="0" w:beforeAutospacing="0" w:after="0" w:afterAutospacing="0"/>
        <w:rPr>
          <w:rFonts w:asciiTheme="minorHAnsi" w:hAnsiTheme="minorHAnsi" w:cs="Helvetica"/>
          <w:b/>
          <w:bCs/>
          <w:kern w:val="36"/>
          <w:sz w:val="20"/>
          <w:szCs w:val="20"/>
        </w:rPr>
      </w:pPr>
      <w:r w:rsidRPr="00A32835">
        <w:rPr>
          <w:rStyle w:val="companyname2"/>
          <w:rFonts w:asciiTheme="minorHAnsi" w:hAnsiTheme="minorHAnsi" w:cs="Arial"/>
          <w:sz w:val="20"/>
          <w:szCs w:val="20"/>
          <w:specVanish w:val="0"/>
        </w:rPr>
        <w:t xml:space="preserve">DQC_0001 </w:t>
      </w:r>
      <w:r w:rsidRPr="00A32835">
        <w:rPr>
          <w:rFonts w:asciiTheme="minorHAnsi" w:hAnsiTheme="minorHAnsi" w:cs="Helvetica"/>
          <w:b/>
          <w:bCs/>
          <w:kern w:val="36"/>
          <w:sz w:val="20"/>
          <w:szCs w:val="20"/>
        </w:rPr>
        <w:t>Axis with Inappropriate Members</w:t>
      </w:r>
    </w:p>
    <w:p w:rsidR="00AF0230" w:rsidRPr="00A32835" w:rsidRDefault="00AF0230" w:rsidP="00AF0230">
      <w:pPr>
        <w:pStyle w:val="NormalWeb"/>
        <w:spacing w:before="0" w:beforeAutospacing="0" w:after="0" w:afterAutospacing="0"/>
        <w:rPr>
          <w:rFonts w:asciiTheme="minorHAnsi" w:hAnsiTheme="minorHAnsi" w:cs="Helvetica"/>
          <w:b/>
          <w:bCs/>
          <w:kern w:val="36"/>
          <w:sz w:val="20"/>
          <w:szCs w:val="20"/>
        </w:rPr>
      </w:pPr>
    </w:p>
    <w:p w:rsidR="00AF0230" w:rsidRPr="00A32835" w:rsidRDefault="00AF0230" w:rsidP="00AF0230">
      <w:pPr>
        <w:pStyle w:val="NormalWeb"/>
        <w:spacing w:before="0" w:beforeAutospacing="0" w:after="0" w:afterAutospacing="0"/>
        <w:rPr>
          <w:rFonts w:asciiTheme="minorHAnsi" w:hAnsiTheme="minorHAnsi" w:cs="Helvetica"/>
          <w:b/>
          <w:bCs/>
          <w:kern w:val="36"/>
          <w:sz w:val="20"/>
          <w:szCs w:val="20"/>
        </w:rPr>
      </w:pPr>
      <w:r w:rsidRPr="00A32835">
        <w:rPr>
          <w:rFonts w:asciiTheme="minorHAnsi" w:hAnsiTheme="minorHAnsi" w:cs="Helvetica"/>
          <w:b/>
          <w:bCs/>
          <w:color w:val="231F20"/>
          <w:sz w:val="20"/>
          <w:szCs w:val="20"/>
        </w:rPr>
        <w:t xml:space="preserve">Rule element ID#69: </w:t>
      </w:r>
      <w:r w:rsidRPr="00A32835">
        <w:rPr>
          <w:rFonts w:asciiTheme="minorHAnsi" w:hAnsiTheme="minorHAnsi" w:cs="Helvetica"/>
          <w:color w:val="231F20"/>
          <w:sz w:val="20"/>
          <w:szCs w:val="20"/>
        </w:rPr>
        <w:t>Products and Services [Axis]</w:t>
      </w:r>
    </w:p>
    <w:p w:rsidR="00AF0230" w:rsidRPr="002740A8" w:rsidRDefault="00AF0230" w:rsidP="00AF0230">
      <w:pPr>
        <w:pStyle w:val="NormalWeb"/>
        <w:spacing w:before="0" w:beforeAutospacing="0" w:after="0" w:afterAutospacing="0"/>
        <w:rPr>
          <w:rFonts w:asciiTheme="minorHAnsi" w:hAnsiTheme="minorHAnsi" w:cs="Helvetica"/>
          <w:bCs/>
          <w:kern w:val="36"/>
          <w:sz w:val="20"/>
          <w:szCs w:val="20"/>
        </w:rPr>
      </w:pPr>
    </w:p>
    <w:p w:rsidR="00AF0230" w:rsidRPr="00A32835" w:rsidRDefault="00AF0230" w:rsidP="00AF0230">
      <w:pPr>
        <w:rPr>
          <w:rFonts w:asciiTheme="minorHAnsi" w:hAnsiTheme="minorHAnsi"/>
          <w:szCs w:val="20"/>
        </w:rPr>
      </w:pPr>
      <w:r w:rsidRPr="002740A8">
        <w:rPr>
          <w:rFonts w:asciiTheme="minorHAnsi" w:hAnsiTheme="minorHAnsi"/>
          <w:bCs/>
          <w:szCs w:val="20"/>
        </w:rPr>
        <w:t xml:space="preserve">The axis </w:t>
      </w:r>
      <w:r w:rsidRPr="002740A8">
        <w:rPr>
          <w:rFonts w:asciiTheme="minorHAnsi" w:hAnsiTheme="minorHAnsi"/>
          <w:szCs w:val="20"/>
        </w:rPr>
        <w:t xml:space="preserve">allows </w:t>
      </w:r>
      <w:proofErr w:type="spellStart"/>
      <w:r w:rsidRPr="002740A8">
        <w:rPr>
          <w:rFonts w:asciiTheme="minorHAnsi" w:hAnsiTheme="minorHAnsi"/>
          <w:szCs w:val="20"/>
        </w:rPr>
        <w:t>CommercialRealEstateMember</w:t>
      </w:r>
      <w:proofErr w:type="spellEnd"/>
      <w:r w:rsidRPr="00A32835">
        <w:rPr>
          <w:rFonts w:asciiTheme="minorHAnsi" w:hAnsiTheme="minorHAnsi"/>
          <w:szCs w:val="20"/>
        </w:rPr>
        <w:t xml:space="preserve">. Please see the example below and consider adding </w:t>
      </w:r>
      <w:proofErr w:type="spellStart"/>
      <w:r w:rsidRPr="00A32835">
        <w:rPr>
          <w:rFonts w:asciiTheme="minorHAnsi" w:hAnsiTheme="minorHAnsi"/>
          <w:szCs w:val="20"/>
        </w:rPr>
        <w:t>ResidentialRealEstateMember</w:t>
      </w:r>
      <w:proofErr w:type="spellEnd"/>
      <w:r w:rsidRPr="00A32835">
        <w:rPr>
          <w:rFonts w:asciiTheme="minorHAnsi" w:hAnsiTheme="minorHAnsi"/>
          <w:szCs w:val="20"/>
        </w:rPr>
        <w:t>.</w:t>
      </w:r>
    </w:p>
    <w:p w:rsidR="00AF0230" w:rsidRPr="00A32835" w:rsidRDefault="00AF0230" w:rsidP="00AF0230">
      <w:pPr>
        <w:pStyle w:val="NormalWeb"/>
        <w:spacing w:before="0" w:beforeAutospacing="0" w:after="0" w:afterAutospacing="0"/>
        <w:rPr>
          <w:rStyle w:val="companyname2"/>
          <w:rFonts w:asciiTheme="minorHAnsi" w:hAnsiTheme="minorHAnsi" w:cs="Arial"/>
          <w:sz w:val="20"/>
          <w:szCs w:val="20"/>
        </w:rPr>
      </w:pPr>
    </w:p>
    <w:p w:rsidR="00AF0230" w:rsidRPr="00A32835" w:rsidRDefault="00AF0230" w:rsidP="00AF0230">
      <w:pPr>
        <w:pStyle w:val="NormalWeb"/>
        <w:spacing w:before="0" w:beforeAutospacing="0" w:after="0" w:afterAutospacing="0"/>
        <w:rPr>
          <w:rFonts w:asciiTheme="minorHAnsi" w:eastAsiaTheme="minorEastAsia" w:hAnsiTheme="minorHAnsi" w:cs="Arial"/>
          <w:b/>
          <w:bCs/>
          <w:sz w:val="20"/>
          <w:szCs w:val="20"/>
        </w:rPr>
      </w:pPr>
      <w:r w:rsidRPr="00A32835">
        <w:rPr>
          <w:rFonts w:asciiTheme="minorHAnsi" w:eastAsiaTheme="minorEastAsia" w:hAnsiTheme="minorHAnsi" w:cs="Arial"/>
          <w:b/>
          <w:bCs/>
          <w:sz w:val="20"/>
          <w:szCs w:val="20"/>
        </w:rPr>
        <w:t xml:space="preserve">Sterling Real Estate Trust CIK#: </w:t>
      </w:r>
      <w:hyperlink r:id="rId4" w:history="1">
        <w:r w:rsidRPr="00A32835">
          <w:rPr>
            <w:rFonts w:asciiTheme="minorHAnsi" w:eastAsiaTheme="minorEastAsia" w:hAnsiTheme="minorHAnsi" w:cs="Arial"/>
            <w:b/>
            <w:bCs/>
            <w:color w:val="BF0023"/>
            <w:sz w:val="20"/>
            <w:szCs w:val="20"/>
          </w:rPr>
          <w:t>0001412502 6/30/2016 10-Q</w:t>
        </w:r>
      </w:hyperlink>
    </w:p>
    <w:p w:rsidR="00AF0230" w:rsidRPr="00A32835" w:rsidRDefault="00AF0230" w:rsidP="00AF0230">
      <w:pPr>
        <w:pStyle w:val="NormalWeb"/>
        <w:spacing w:before="0" w:beforeAutospacing="0" w:after="0" w:afterAutospacing="0"/>
        <w:rPr>
          <w:rStyle w:val="companyname2"/>
          <w:rFonts w:asciiTheme="minorHAnsi" w:hAnsiTheme="minorHAnsi" w:cs="Arial"/>
          <w:sz w:val="20"/>
          <w:szCs w:val="20"/>
        </w:rPr>
      </w:pPr>
    </w:p>
    <w:p w:rsidR="00AF0230" w:rsidRPr="00A32835" w:rsidRDefault="00AF0230" w:rsidP="00AF0230">
      <w:pPr>
        <w:spacing w:after="0" w:line="240" w:lineRule="auto"/>
        <w:jc w:val="both"/>
        <w:rPr>
          <w:rFonts w:asciiTheme="minorHAnsi" w:eastAsia="Times New Roman" w:hAnsiTheme="minorHAnsi" w:cs="Times New Roman"/>
          <w:szCs w:val="20"/>
        </w:rPr>
      </w:pPr>
      <w:r w:rsidRPr="00A32835">
        <w:rPr>
          <w:rFonts w:asciiTheme="minorHAnsi" w:eastAsia="Times New Roman" w:hAnsiTheme="minorHAnsi" w:cs="Times New Roman"/>
          <w:i/>
          <w:iCs/>
          <w:color w:val="000000"/>
          <w:szCs w:val="20"/>
        </w:rPr>
        <w:t>Principal Business Activity</w:t>
      </w:r>
      <w:r w:rsidRPr="00A32835">
        <w:rPr>
          <w:rFonts w:asciiTheme="minorHAnsi" w:eastAsia="Times New Roman" w:hAnsiTheme="minorHAnsi" w:cs="Times New Roman"/>
          <w:szCs w:val="20"/>
        </w:rPr>
        <w:t xml:space="preserve"> </w:t>
      </w:r>
    </w:p>
    <w:p w:rsidR="00AF0230" w:rsidRPr="00A32835" w:rsidRDefault="00AF0230" w:rsidP="00AF0230">
      <w:pPr>
        <w:spacing w:after="0" w:line="240" w:lineRule="auto"/>
        <w:jc w:val="both"/>
        <w:rPr>
          <w:rFonts w:asciiTheme="minorHAnsi" w:eastAsia="Times New Roman" w:hAnsiTheme="minorHAnsi" w:cs="Times New Roman"/>
          <w:szCs w:val="20"/>
        </w:rPr>
      </w:pPr>
      <w:r w:rsidRPr="00A32835">
        <w:rPr>
          <w:rFonts w:asciiTheme="minorHAnsi" w:eastAsia="Times New Roman" w:hAnsiTheme="minorHAnsi" w:cs="Times New Roman"/>
          <w:color w:val="000000"/>
          <w:szCs w:val="20"/>
        </w:rPr>
        <w:t> </w:t>
      </w:r>
      <w:r w:rsidRPr="00A32835">
        <w:rPr>
          <w:rFonts w:asciiTheme="minorHAnsi" w:eastAsia="Times New Roman" w:hAnsiTheme="minorHAnsi" w:cs="Times New Roman"/>
          <w:szCs w:val="20"/>
        </w:rPr>
        <w:t xml:space="preserve"> </w:t>
      </w:r>
    </w:p>
    <w:p w:rsidR="00AF0230" w:rsidRPr="00A32835" w:rsidRDefault="00AF0230" w:rsidP="00AF0230">
      <w:pPr>
        <w:spacing w:after="0" w:line="240" w:lineRule="auto"/>
        <w:jc w:val="both"/>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Sterling currently owns directly and indirectly 153 properties.  The Trust’s 102 residential properties are located in North Dakota, Minnesota, Missouri and Nebraska and are principally multifamily apartment buildings.  The Trust owns 51 commercial properties primarily located in North Dakota with others located in Arkansas, Colorado, Iowa, Louisiana, Michigan, Minnesota, Mississippi, Nebraska, Texas and Wisconsin. The commercial properties include retail, office, industrial, restaurant and medical properties.  Presently, the Trust’s mix of properties is 68.3% residential and 31.7% commercial (based on cost) and total $609,872 in real estate investments at June 30, 2016. Effective January 1, 2016, Sterling’s acquisition strategy and focus is solely on multifamily apartment properties.  Sterling did complete two commercial transactions during the first quarter of 2016 which transactions were initiated prior to January 1, 2016.  We currently have no plans to dispose of our existing commercial properties. </w:t>
      </w:r>
    </w:p>
    <w:p w:rsidR="00AF0230" w:rsidRPr="00A32835" w:rsidRDefault="00AF0230" w:rsidP="00AF0230">
      <w:pPr>
        <w:spacing w:after="0" w:line="240" w:lineRule="auto"/>
        <w:jc w:val="both"/>
        <w:rPr>
          <w:rFonts w:asciiTheme="minorHAnsi" w:eastAsia="Times New Roman" w:hAnsiTheme="minorHAnsi" w:cs="Times New Roman"/>
          <w:szCs w:val="20"/>
        </w:rPr>
      </w:pPr>
      <w:r w:rsidRPr="00A32835">
        <w:rPr>
          <w:rFonts w:asciiTheme="minorHAnsi" w:eastAsia="Times New Roman" w:hAnsiTheme="minorHAnsi" w:cs="Times New Roman"/>
          <w:color w:val="000000"/>
          <w:szCs w:val="20"/>
        </w:rPr>
        <w:t> </w:t>
      </w:r>
      <w:r w:rsidRPr="00A32835">
        <w:rPr>
          <w:rFonts w:asciiTheme="minorHAnsi" w:eastAsia="Times New Roman" w:hAnsiTheme="minorHAnsi" w:cs="Times New Roman"/>
          <w:szCs w:val="20"/>
        </w:rPr>
        <w:t xml:space="preserve"> </w:t>
      </w:r>
      <w:r w:rsidRPr="00A32835">
        <w:rPr>
          <w:rFonts w:asciiTheme="minorHAnsi" w:eastAsia="Times New Roman" w:hAnsiTheme="minorHAnsi" w:cs="Times New Roman"/>
          <w:color w:val="000000"/>
          <w:szCs w:val="20"/>
        </w:rPr>
        <w:t> </w:t>
      </w:r>
      <w:r w:rsidRPr="00A32835">
        <w:rPr>
          <w:rFonts w:asciiTheme="minorHAnsi" w:eastAsia="Times New Roman" w:hAnsiTheme="minorHAnsi" w:cs="Times New Roman"/>
          <w:szCs w:val="20"/>
        </w:rPr>
        <w:t xml:space="preserve">  </w:t>
      </w:r>
    </w:p>
    <w:tbl>
      <w:tblPr>
        <w:tblW w:w="5000" w:type="pct"/>
        <w:tblCellMar>
          <w:left w:w="0" w:type="dxa"/>
          <w:right w:w="0" w:type="dxa"/>
        </w:tblCellMar>
        <w:tblLook w:val="04A0" w:firstRow="1" w:lastRow="0" w:firstColumn="1" w:lastColumn="0" w:noHBand="0" w:noVBand="1"/>
      </w:tblPr>
      <w:tblGrid>
        <w:gridCol w:w="5778"/>
        <w:gridCol w:w="181"/>
        <w:gridCol w:w="1005"/>
        <w:gridCol w:w="181"/>
        <w:gridCol w:w="1164"/>
        <w:gridCol w:w="181"/>
        <w:gridCol w:w="870"/>
      </w:tblGrid>
      <w:tr w:rsidR="00AF0230" w:rsidRPr="00A32835" w:rsidTr="00B15AAD">
        <w:trPr>
          <w:trHeight w:val="20"/>
        </w:trPr>
        <w:tc>
          <w:tcPr>
            <w:tcW w:w="313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r>
      <w:tr w:rsidR="00AF0230" w:rsidRPr="00A32835" w:rsidTr="00B15AAD">
        <w:tc>
          <w:tcPr>
            <w:tcW w:w="3136" w:type="pct"/>
            <w:tcBorders>
              <w:top w:val="nil"/>
              <w:left w:val="nil"/>
              <w:bottom w:val="single" w:sz="8" w:space="0" w:color="000000"/>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b/>
                <w:bCs/>
                <w:szCs w:val="20"/>
              </w:rPr>
              <w:t>Residential Property</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color w:val="000000"/>
                <w:szCs w:val="20"/>
              </w:rPr>
            </w:pPr>
            <w:r w:rsidRPr="00A32835">
              <w:rPr>
                <w:rFonts w:asciiTheme="minorHAnsi" w:eastAsia="Times New Roman" w:hAnsiTheme="minorHAnsi" w:cs="Times New Roman"/>
                <w:b/>
                <w:bCs/>
                <w:color w:val="000000"/>
                <w:szCs w:val="20"/>
              </w:rPr>
              <w:t>    </w:t>
            </w:r>
          </w:p>
        </w:tc>
        <w:tc>
          <w:tcPr>
            <w:tcW w:w="586" w:type="pct"/>
            <w:tcBorders>
              <w:top w:val="nil"/>
              <w:left w:val="nil"/>
              <w:bottom w:val="single" w:sz="8" w:space="0" w:color="000000"/>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b/>
                <w:bCs/>
                <w:szCs w:val="20"/>
              </w:rPr>
              <w:t>Location</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color w:val="000000"/>
                <w:szCs w:val="20"/>
              </w:rPr>
            </w:pPr>
            <w:r w:rsidRPr="00A32835">
              <w:rPr>
                <w:rFonts w:asciiTheme="minorHAnsi" w:eastAsia="Times New Roman" w:hAnsiTheme="minorHAnsi" w:cs="Times New Roman"/>
                <w:b/>
                <w:bCs/>
                <w:color w:val="000000"/>
                <w:szCs w:val="20"/>
              </w:rPr>
              <w:t>    </w:t>
            </w:r>
          </w:p>
        </w:tc>
        <w:tc>
          <w:tcPr>
            <w:tcW w:w="671" w:type="pct"/>
            <w:tcBorders>
              <w:top w:val="nil"/>
              <w:left w:val="nil"/>
              <w:bottom w:val="single" w:sz="8" w:space="0" w:color="000000"/>
              <w:right w:val="nil"/>
            </w:tcBorders>
            <w:vAlign w:val="bottom"/>
            <w:hideMark/>
          </w:tcPr>
          <w:p w:rsidR="00AF0230" w:rsidRPr="00A32835" w:rsidRDefault="00AF0230" w:rsidP="00B15AAD">
            <w:pPr>
              <w:spacing w:after="0" w:line="240" w:lineRule="auto"/>
              <w:jc w:val="center"/>
              <w:rPr>
                <w:rFonts w:asciiTheme="minorHAnsi" w:eastAsia="Times New Roman" w:hAnsiTheme="minorHAnsi" w:cs="Times New Roman"/>
                <w:szCs w:val="20"/>
              </w:rPr>
            </w:pPr>
            <w:r w:rsidRPr="00A32835">
              <w:rPr>
                <w:rFonts w:asciiTheme="minorHAnsi" w:eastAsia="Times New Roman" w:hAnsiTheme="minorHAnsi" w:cs="Times New Roman"/>
                <w:b/>
                <w:bCs/>
                <w:szCs w:val="20"/>
              </w:rPr>
              <w:t>No. of Properties</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color w:val="000000"/>
                <w:szCs w:val="20"/>
              </w:rPr>
            </w:pPr>
            <w:r w:rsidRPr="00A32835">
              <w:rPr>
                <w:rFonts w:asciiTheme="minorHAnsi" w:eastAsia="Times New Roman" w:hAnsiTheme="minorHAnsi" w:cs="Times New Roman"/>
                <w:b/>
                <w:bCs/>
                <w:color w:val="000000"/>
                <w:szCs w:val="20"/>
              </w:rPr>
              <w:t>    </w:t>
            </w:r>
          </w:p>
        </w:tc>
        <w:tc>
          <w:tcPr>
            <w:tcW w:w="335" w:type="pct"/>
            <w:tcBorders>
              <w:top w:val="nil"/>
              <w:left w:val="nil"/>
              <w:bottom w:val="single" w:sz="8" w:space="0" w:color="000000"/>
              <w:right w:val="nil"/>
            </w:tcBorders>
            <w:vAlign w:val="bottom"/>
            <w:hideMark/>
          </w:tcPr>
          <w:p w:rsidR="00AF0230" w:rsidRPr="00A32835" w:rsidRDefault="00AF0230" w:rsidP="00B15AAD">
            <w:pPr>
              <w:spacing w:after="0" w:line="240" w:lineRule="auto"/>
              <w:jc w:val="center"/>
              <w:rPr>
                <w:rFonts w:asciiTheme="minorHAnsi" w:eastAsia="Times New Roman" w:hAnsiTheme="minorHAnsi" w:cs="Times New Roman"/>
                <w:szCs w:val="20"/>
              </w:rPr>
            </w:pPr>
            <w:r w:rsidRPr="00A32835">
              <w:rPr>
                <w:rFonts w:asciiTheme="minorHAnsi" w:eastAsia="Times New Roman" w:hAnsiTheme="minorHAnsi" w:cs="Times New Roman"/>
                <w:b/>
                <w:bCs/>
                <w:szCs w:val="20"/>
              </w:rPr>
              <w:t>Units</w:t>
            </w:r>
          </w:p>
        </w:tc>
      </w:tr>
      <w:tr w:rsidR="00AF0230" w:rsidRPr="00A32835" w:rsidTr="00B15AAD">
        <w:tc>
          <w:tcPr>
            <w:tcW w:w="313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North Dakota</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83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5,245 </w:t>
            </w:r>
          </w:p>
        </w:tc>
      </w:tr>
      <w:tr w:rsidR="00AF0230" w:rsidRPr="00A32835" w:rsidTr="00B15AAD">
        <w:tc>
          <w:tcPr>
            <w:tcW w:w="313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Minnesota</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16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3,027 </w:t>
            </w:r>
          </w:p>
        </w:tc>
      </w:tr>
      <w:tr w:rsidR="00AF0230" w:rsidRPr="00A32835" w:rsidTr="00B15AAD">
        <w:tc>
          <w:tcPr>
            <w:tcW w:w="313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Missouri</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164 </w:t>
            </w:r>
          </w:p>
        </w:tc>
      </w:tr>
      <w:tr w:rsidR="00AF0230" w:rsidRPr="00A32835" w:rsidTr="00B15AAD">
        <w:tc>
          <w:tcPr>
            <w:tcW w:w="313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Nebraska</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single" w:sz="8" w:space="0" w:color="000000"/>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2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single" w:sz="8" w:space="0" w:color="000000"/>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316 </w:t>
            </w:r>
          </w:p>
        </w:tc>
      </w:tr>
      <w:tr w:rsidR="00AF0230" w:rsidRPr="00A32835" w:rsidTr="00B15AAD">
        <w:tc>
          <w:tcPr>
            <w:tcW w:w="313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102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8,752 </w:t>
            </w:r>
          </w:p>
        </w:tc>
      </w:tr>
      <w:tr w:rsidR="00AF0230" w:rsidRPr="00A32835" w:rsidTr="00B15AAD">
        <w:tc>
          <w:tcPr>
            <w:tcW w:w="313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vAlign w:val="bottom"/>
            <w:hideMark/>
          </w:tcPr>
          <w:p w:rsidR="00AF0230" w:rsidRPr="00A32835" w:rsidRDefault="00AF0230" w:rsidP="00B15AAD">
            <w:pPr>
              <w:spacing w:after="0" w:line="240" w:lineRule="auto"/>
              <w:jc w:val="center"/>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r>
      <w:tr w:rsidR="00AF0230" w:rsidRPr="00A32835" w:rsidTr="00B15AAD">
        <w:tc>
          <w:tcPr>
            <w:tcW w:w="3136" w:type="pct"/>
            <w:tcBorders>
              <w:top w:val="nil"/>
              <w:left w:val="nil"/>
              <w:bottom w:val="single" w:sz="8" w:space="0" w:color="000000"/>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b/>
                <w:bCs/>
                <w:szCs w:val="20"/>
              </w:rPr>
              <w:t>Commercial Property</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color w:val="000000"/>
                <w:szCs w:val="20"/>
              </w:rPr>
            </w:pPr>
            <w:r w:rsidRPr="00A32835">
              <w:rPr>
                <w:rFonts w:asciiTheme="minorHAnsi" w:eastAsia="Times New Roman" w:hAnsiTheme="minorHAnsi" w:cs="Times New Roman"/>
                <w:b/>
                <w:bCs/>
                <w:color w:val="000000"/>
                <w:szCs w:val="20"/>
              </w:rPr>
              <w:t>    </w:t>
            </w:r>
          </w:p>
        </w:tc>
        <w:tc>
          <w:tcPr>
            <w:tcW w:w="586" w:type="pct"/>
            <w:tcBorders>
              <w:top w:val="nil"/>
              <w:left w:val="nil"/>
              <w:bottom w:val="single" w:sz="8" w:space="0" w:color="000000"/>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b/>
                <w:bCs/>
                <w:szCs w:val="20"/>
              </w:rPr>
              <w:t>Location</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color w:val="000000"/>
                <w:szCs w:val="20"/>
              </w:rPr>
            </w:pPr>
            <w:r w:rsidRPr="00A32835">
              <w:rPr>
                <w:rFonts w:asciiTheme="minorHAnsi" w:eastAsia="Times New Roman" w:hAnsiTheme="minorHAnsi" w:cs="Times New Roman"/>
                <w:b/>
                <w:bCs/>
                <w:color w:val="000000"/>
                <w:szCs w:val="20"/>
              </w:rPr>
              <w:t>    </w:t>
            </w:r>
          </w:p>
        </w:tc>
        <w:tc>
          <w:tcPr>
            <w:tcW w:w="671" w:type="pct"/>
            <w:tcBorders>
              <w:top w:val="nil"/>
              <w:left w:val="nil"/>
              <w:bottom w:val="single" w:sz="8" w:space="0" w:color="000000"/>
              <w:right w:val="nil"/>
            </w:tcBorders>
            <w:vAlign w:val="bottom"/>
            <w:hideMark/>
          </w:tcPr>
          <w:p w:rsidR="00AF0230" w:rsidRPr="00A32835" w:rsidRDefault="00AF0230" w:rsidP="00B15AAD">
            <w:pPr>
              <w:spacing w:after="0" w:line="240" w:lineRule="auto"/>
              <w:jc w:val="center"/>
              <w:rPr>
                <w:rFonts w:asciiTheme="minorHAnsi" w:eastAsia="Times New Roman" w:hAnsiTheme="minorHAnsi" w:cs="Times New Roman"/>
                <w:szCs w:val="20"/>
              </w:rPr>
            </w:pPr>
            <w:r w:rsidRPr="00A32835">
              <w:rPr>
                <w:rFonts w:asciiTheme="minorHAnsi" w:eastAsia="Times New Roman" w:hAnsiTheme="minorHAnsi" w:cs="Times New Roman"/>
                <w:b/>
                <w:bCs/>
                <w:szCs w:val="20"/>
              </w:rPr>
              <w:t>No. of Properties</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color w:val="000000"/>
                <w:szCs w:val="20"/>
              </w:rPr>
            </w:pPr>
            <w:r w:rsidRPr="00A32835">
              <w:rPr>
                <w:rFonts w:asciiTheme="minorHAnsi" w:eastAsia="Times New Roman" w:hAnsiTheme="minorHAnsi" w:cs="Times New Roman"/>
                <w:b/>
                <w:bCs/>
                <w:color w:val="000000"/>
                <w:szCs w:val="20"/>
              </w:rPr>
              <w:t>    </w:t>
            </w:r>
          </w:p>
        </w:tc>
        <w:tc>
          <w:tcPr>
            <w:tcW w:w="335" w:type="pct"/>
            <w:tcBorders>
              <w:top w:val="nil"/>
              <w:left w:val="nil"/>
              <w:bottom w:val="single" w:sz="8" w:space="0" w:color="000000"/>
              <w:right w:val="nil"/>
            </w:tcBorders>
            <w:vAlign w:val="bottom"/>
            <w:hideMark/>
          </w:tcPr>
          <w:p w:rsidR="00AF0230" w:rsidRPr="00A32835" w:rsidRDefault="00AF0230" w:rsidP="00B15AAD">
            <w:pPr>
              <w:spacing w:after="0" w:line="240" w:lineRule="auto"/>
              <w:jc w:val="center"/>
              <w:rPr>
                <w:rFonts w:asciiTheme="minorHAnsi" w:eastAsia="Times New Roman" w:hAnsiTheme="minorHAnsi" w:cs="Times New Roman"/>
                <w:szCs w:val="20"/>
              </w:rPr>
            </w:pPr>
            <w:r w:rsidRPr="00A32835">
              <w:rPr>
                <w:rFonts w:asciiTheme="minorHAnsi" w:eastAsia="Times New Roman" w:hAnsiTheme="minorHAnsi" w:cs="Times New Roman"/>
                <w:b/>
                <w:bCs/>
                <w:szCs w:val="20"/>
              </w:rPr>
              <w:t>Sq. Ft</w:t>
            </w:r>
          </w:p>
        </w:tc>
      </w:tr>
      <w:tr w:rsidR="00AF0230" w:rsidRPr="00A32835" w:rsidTr="00B15AAD">
        <w:tc>
          <w:tcPr>
            <w:tcW w:w="313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North Dakota</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21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832,908 </w:t>
            </w:r>
          </w:p>
        </w:tc>
      </w:tr>
      <w:tr w:rsidR="00AF0230" w:rsidRPr="00A32835" w:rsidTr="00B15AAD">
        <w:tc>
          <w:tcPr>
            <w:tcW w:w="313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Arkansas</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2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29,370 </w:t>
            </w:r>
          </w:p>
        </w:tc>
      </w:tr>
      <w:tr w:rsidR="00AF0230" w:rsidRPr="00A32835" w:rsidTr="00B15AAD">
        <w:tc>
          <w:tcPr>
            <w:tcW w:w="313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Colorado</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13,390 </w:t>
            </w:r>
          </w:p>
        </w:tc>
      </w:tr>
      <w:tr w:rsidR="00AF0230" w:rsidRPr="00A32835" w:rsidTr="00B15AAD">
        <w:tc>
          <w:tcPr>
            <w:tcW w:w="313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Iowa</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32,532 </w:t>
            </w:r>
          </w:p>
        </w:tc>
      </w:tr>
      <w:tr w:rsidR="00AF0230" w:rsidRPr="00A32835" w:rsidTr="00B15AAD">
        <w:tc>
          <w:tcPr>
            <w:tcW w:w="313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Louisiana</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14,560 </w:t>
            </w:r>
          </w:p>
        </w:tc>
      </w:tr>
      <w:tr w:rsidR="00AF0230" w:rsidRPr="00A32835" w:rsidTr="00B15AAD">
        <w:tc>
          <w:tcPr>
            <w:tcW w:w="313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Michigan</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11,737 </w:t>
            </w:r>
          </w:p>
        </w:tc>
      </w:tr>
      <w:tr w:rsidR="00AF0230" w:rsidRPr="00A32835" w:rsidTr="00B15AAD">
        <w:tc>
          <w:tcPr>
            <w:tcW w:w="313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Minnesota</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15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683,090 </w:t>
            </w:r>
          </w:p>
        </w:tc>
      </w:tr>
      <w:tr w:rsidR="00AF0230" w:rsidRPr="00A32835" w:rsidTr="00B15AAD">
        <w:tc>
          <w:tcPr>
            <w:tcW w:w="313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Mississippi</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14,820 </w:t>
            </w:r>
          </w:p>
        </w:tc>
      </w:tr>
      <w:tr w:rsidR="00AF0230" w:rsidRPr="00A32835" w:rsidTr="00B15AAD">
        <w:tc>
          <w:tcPr>
            <w:tcW w:w="313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Nebraska</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16,480 </w:t>
            </w:r>
          </w:p>
        </w:tc>
      </w:tr>
      <w:tr w:rsidR="00AF0230" w:rsidRPr="00A32835" w:rsidTr="00B15AAD">
        <w:tc>
          <w:tcPr>
            <w:tcW w:w="313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Texas</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7,296 </w:t>
            </w:r>
          </w:p>
        </w:tc>
      </w:tr>
      <w:tr w:rsidR="00AF0230" w:rsidRPr="00A32835" w:rsidTr="00B15AAD">
        <w:tc>
          <w:tcPr>
            <w:tcW w:w="313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Wisconsin</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single" w:sz="8" w:space="0" w:color="000000"/>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6 </w:t>
            </w:r>
          </w:p>
        </w:tc>
        <w:tc>
          <w:tcPr>
            <w:tcW w:w="91" w:type="pct"/>
            <w:tcBorders>
              <w:top w:val="nil"/>
              <w:left w:val="nil"/>
              <w:bottom w:val="nil"/>
              <w:right w:val="nil"/>
            </w:tcBorders>
            <w:shd w:val="clear" w:color="auto" w:fill="CCEEFF"/>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single" w:sz="8" w:space="0" w:color="000000"/>
              <w:right w:val="nil"/>
            </w:tcBorders>
            <w:shd w:val="clear" w:color="auto" w:fill="CCEEFF"/>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74,916 </w:t>
            </w:r>
          </w:p>
        </w:tc>
      </w:tr>
      <w:tr w:rsidR="00AF0230" w:rsidRPr="00A32835" w:rsidTr="00B15AAD">
        <w:tc>
          <w:tcPr>
            <w:tcW w:w="313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586"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671"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51 </w:t>
            </w:r>
          </w:p>
        </w:tc>
        <w:tc>
          <w:tcPr>
            <w:tcW w:w="91" w:type="pct"/>
            <w:tcBorders>
              <w:top w:val="nil"/>
              <w:left w:val="nil"/>
              <w:bottom w:val="nil"/>
              <w:right w:val="nil"/>
            </w:tcBorders>
            <w:vAlign w:val="bottom"/>
            <w:hideMark/>
          </w:tcPr>
          <w:p w:rsidR="00AF0230" w:rsidRPr="00A32835" w:rsidRDefault="00AF0230" w:rsidP="00B15AAD">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w:t>
            </w:r>
          </w:p>
        </w:tc>
        <w:tc>
          <w:tcPr>
            <w:tcW w:w="335" w:type="pct"/>
            <w:tcBorders>
              <w:top w:val="nil"/>
              <w:left w:val="nil"/>
              <w:bottom w:val="nil"/>
              <w:right w:val="nil"/>
            </w:tcBorders>
            <w:noWrap/>
            <w:tcMar>
              <w:top w:w="0" w:type="dxa"/>
              <w:left w:w="0" w:type="dxa"/>
              <w:bottom w:w="0" w:type="dxa"/>
              <w:right w:w="60" w:type="dxa"/>
            </w:tcMar>
            <w:vAlign w:val="bottom"/>
            <w:hideMark/>
          </w:tcPr>
          <w:p w:rsidR="00AF0230" w:rsidRPr="00A32835" w:rsidRDefault="00AF0230" w:rsidP="00B15AAD">
            <w:pPr>
              <w:spacing w:after="0" w:line="240" w:lineRule="auto"/>
              <w:jc w:val="right"/>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1,731,099 </w:t>
            </w:r>
          </w:p>
        </w:tc>
      </w:tr>
    </w:tbl>
    <w:p w:rsidR="00AF0230" w:rsidRPr="00A32835" w:rsidRDefault="00AF0230" w:rsidP="00AF0230">
      <w:pPr>
        <w:spacing w:after="0" w:line="240" w:lineRule="auto"/>
        <w:rPr>
          <w:rFonts w:asciiTheme="minorHAnsi" w:eastAsia="Times New Roman" w:hAnsiTheme="minorHAnsi" w:cs="Times New Roman"/>
          <w:szCs w:val="20"/>
        </w:rPr>
      </w:pPr>
      <w:r w:rsidRPr="00A32835">
        <w:rPr>
          <w:rFonts w:asciiTheme="minorHAnsi" w:eastAsia="Times New Roman" w:hAnsiTheme="minorHAnsi" w:cs="Times New Roman"/>
          <w:szCs w:val="20"/>
        </w:rPr>
        <w:t xml:space="preserve">  </w:t>
      </w:r>
      <w:r w:rsidRPr="00A32835">
        <w:rPr>
          <w:rFonts w:asciiTheme="minorHAnsi" w:eastAsia="Times New Roman" w:hAnsiTheme="minorHAnsi" w:cs="Times New Roman"/>
          <w:color w:val="000000"/>
          <w:szCs w:val="20"/>
        </w:rPr>
        <w:t> </w:t>
      </w:r>
      <w:r w:rsidRPr="00A32835">
        <w:rPr>
          <w:rFonts w:asciiTheme="minorHAnsi" w:eastAsia="Times New Roman" w:hAnsiTheme="minorHAnsi" w:cs="Times New Roman"/>
          <w:szCs w:val="20"/>
        </w:rPr>
        <w:t xml:space="preserve"> </w:t>
      </w:r>
    </w:p>
    <w:p w:rsidR="00AF0230" w:rsidRPr="00A32835" w:rsidRDefault="00AF0230" w:rsidP="00AF0230">
      <w:pPr>
        <w:spacing w:after="0" w:line="240" w:lineRule="auto"/>
        <w:jc w:val="both"/>
        <w:rPr>
          <w:rFonts w:asciiTheme="minorHAnsi" w:eastAsia="Times New Roman" w:hAnsiTheme="minorHAnsi" w:cs="Times New Roman"/>
          <w:szCs w:val="20"/>
        </w:rPr>
      </w:pPr>
      <w:r w:rsidRPr="00A32835">
        <w:rPr>
          <w:rFonts w:asciiTheme="minorHAnsi" w:eastAsia="Times New Roman" w:hAnsiTheme="minorHAnsi" w:cs="Times New Roman"/>
          <w:i/>
          <w:iCs/>
          <w:color w:val="000000"/>
          <w:szCs w:val="20"/>
        </w:rPr>
        <w:t>Concentration of Credit Risk</w:t>
      </w:r>
      <w:r w:rsidRPr="00A32835">
        <w:rPr>
          <w:rFonts w:asciiTheme="minorHAnsi" w:eastAsia="Times New Roman" w:hAnsiTheme="minorHAnsi" w:cs="Times New Roman"/>
          <w:szCs w:val="20"/>
        </w:rPr>
        <w:t xml:space="preserve"> </w:t>
      </w:r>
    </w:p>
    <w:p w:rsidR="00AF0230" w:rsidRPr="00A32835" w:rsidRDefault="00AF0230" w:rsidP="00AF0230">
      <w:pPr>
        <w:spacing w:after="0" w:line="240" w:lineRule="auto"/>
        <w:jc w:val="both"/>
        <w:rPr>
          <w:rFonts w:asciiTheme="minorHAnsi" w:eastAsia="Times New Roman" w:hAnsiTheme="minorHAnsi" w:cs="Times New Roman"/>
          <w:szCs w:val="20"/>
        </w:rPr>
      </w:pPr>
      <w:r w:rsidRPr="00A32835">
        <w:rPr>
          <w:rFonts w:asciiTheme="minorHAnsi" w:eastAsia="Times New Roman" w:hAnsiTheme="minorHAnsi" w:cs="Times New Roman"/>
          <w:color w:val="000000"/>
          <w:szCs w:val="20"/>
        </w:rPr>
        <w:t> </w:t>
      </w:r>
      <w:r w:rsidRPr="00A32835">
        <w:rPr>
          <w:rFonts w:asciiTheme="minorHAnsi" w:eastAsia="Times New Roman" w:hAnsiTheme="minorHAnsi" w:cs="Times New Roman"/>
          <w:szCs w:val="20"/>
        </w:rPr>
        <w:t xml:space="preserve"> </w:t>
      </w:r>
    </w:p>
    <w:p w:rsidR="008626DD" w:rsidRDefault="00AF0230" w:rsidP="00AF0230">
      <w:pPr>
        <w:spacing w:after="0" w:line="240" w:lineRule="auto"/>
        <w:jc w:val="both"/>
      </w:pPr>
      <w:r w:rsidRPr="00A32835">
        <w:rPr>
          <w:rFonts w:asciiTheme="minorHAnsi" w:eastAsia="Times New Roman" w:hAnsiTheme="minorHAnsi" w:cs="Times New Roman"/>
          <w:color w:val="000000"/>
          <w:szCs w:val="20"/>
        </w:rPr>
        <w:t>Our cash balances are maintained in various bank deposit accounts. The bank deposit amounts in these accounts may exceed federally insured limits at various times throughout the year.</w:t>
      </w:r>
      <w:r w:rsidRPr="00A32835">
        <w:rPr>
          <w:rFonts w:asciiTheme="minorHAnsi" w:eastAsia="Times New Roman" w:hAnsiTheme="minorHAnsi" w:cs="Times New Roman"/>
          <w:szCs w:val="20"/>
        </w:rPr>
        <w:t xml:space="preserve"> </w:t>
      </w:r>
      <w:bookmarkStart w:id="0" w:name="_GoBack"/>
      <w:bookmarkEnd w:id="0"/>
    </w:p>
    <w:sectPr w:rsidR="008626DD" w:rsidSect="00862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30"/>
    <w:rsid w:val="00005A4E"/>
    <w:rsid w:val="0001719C"/>
    <w:rsid w:val="00032F81"/>
    <w:rsid w:val="001304C7"/>
    <w:rsid w:val="00196E7A"/>
    <w:rsid w:val="00245E0C"/>
    <w:rsid w:val="002C5E6A"/>
    <w:rsid w:val="002E78B9"/>
    <w:rsid w:val="00316976"/>
    <w:rsid w:val="00384B76"/>
    <w:rsid w:val="004A7DBD"/>
    <w:rsid w:val="004B1B39"/>
    <w:rsid w:val="00543443"/>
    <w:rsid w:val="00573E01"/>
    <w:rsid w:val="00594F18"/>
    <w:rsid w:val="0061552B"/>
    <w:rsid w:val="00646769"/>
    <w:rsid w:val="007451A3"/>
    <w:rsid w:val="00813E99"/>
    <w:rsid w:val="008626DD"/>
    <w:rsid w:val="008C6864"/>
    <w:rsid w:val="0091742A"/>
    <w:rsid w:val="00943379"/>
    <w:rsid w:val="009A3DBF"/>
    <w:rsid w:val="009E47B6"/>
    <w:rsid w:val="00A022F9"/>
    <w:rsid w:val="00A1405A"/>
    <w:rsid w:val="00A42BB3"/>
    <w:rsid w:val="00AE3FDC"/>
    <w:rsid w:val="00AF0230"/>
    <w:rsid w:val="00BF2D96"/>
    <w:rsid w:val="00C43CA0"/>
    <w:rsid w:val="00D25FCA"/>
    <w:rsid w:val="00D3205C"/>
    <w:rsid w:val="00E83747"/>
    <w:rsid w:val="00EE2CC8"/>
    <w:rsid w:val="00F7491E"/>
    <w:rsid w:val="00FC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1E68E-AED3-40F4-AF4F-88C267A6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30"/>
    <w:rPr>
      <w:rFonts w:ascii="Times New Roman" w:hAnsi="Times New Roman"/>
      <w:sz w:val="20"/>
    </w:rPr>
  </w:style>
  <w:style w:type="paragraph" w:styleId="Heading1">
    <w:name w:val="heading 1"/>
    <w:basedOn w:val="Normal"/>
    <w:next w:val="Normal"/>
    <w:link w:val="Heading1Char"/>
    <w:uiPriority w:val="9"/>
    <w:qFormat/>
    <w:rsid w:val="00594F18"/>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94F18"/>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594F18"/>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F18"/>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594F18"/>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594F18"/>
    <w:rPr>
      <w:rFonts w:asciiTheme="majorHAnsi" w:eastAsiaTheme="majorEastAsia" w:hAnsiTheme="majorHAnsi" w:cstheme="majorBidi"/>
      <w:b/>
      <w:bCs/>
      <w:sz w:val="20"/>
    </w:rPr>
  </w:style>
  <w:style w:type="paragraph" w:styleId="NormalWeb">
    <w:name w:val="Normal (Web)"/>
    <w:basedOn w:val="Normal"/>
    <w:uiPriority w:val="99"/>
    <w:unhideWhenUsed/>
    <w:rsid w:val="00AF0230"/>
    <w:pPr>
      <w:spacing w:before="100" w:beforeAutospacing="1" w:after="100" w:afterAutospacing="1" w:line="240" w:lineRule="auto"/>
    </w:pPr>
    <w:rPr>
      <w:rFonts w:eastAsia="Times New Roman" w:cs="Times New Roman"/>
      <w:sz w:val="24"/>
      <w:szCs w:val="24"/>
    </w:rPr>
  </w:style>
  <w:style w:type="character" w:customStyle="1" w:styleId="companyname2">
    <w:name w:val="companyname2"/>
    <w:basedOn w:val="DefaultParagraphFont"/>
    <w:rsid w:val="00AF0230"/>
    <w:rPr>
      <w:b/>
      <w:bCs/>
      <w:vanish w:val="0"/>
      <w:webHidden w:val="0"/>
      <w:sz w:val="23"/>
      <w:szCs w:val="2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c.gov/cgi-bin/browse-edgar?action=getcompany&amp;CIK=0001412502&amp;owner=exclude&amp;count=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Wavrin, Shelly</dc:creator>
  <cp:keywords/>
  <dc:description/>
  <cp:lastModifiedBy>Wavrin, Shelly</cp:lastModifiedBy>
  <cp:revision>1</cp:revision>
  <dcterms:created xsi:type="dcterms:W3CDTF">2016-08-22T20:43:00Z</dcterms:created>
  <dcterms:modified xsi:type="dcterms:W3CDTF">2016-08-22T20:44:00Z</dcterms:modified>
</cp:coreProperties>
</file>