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47C9BA" w14:textId="77777777" w:rsidR="00C61F56" w:rsidRPr="00C844B4" w:rsidRDefault="00C61F56">
      <w:pPr>
        <w:pStyle w:val="Title"/>
        <w:rPr>
          <w:rFonts w:cs="Arial"/>
          <w:sz w:val="20"/>
        </w:rPr>
      </w:pPr>
      <w:r w:rsidRPr="00C844B4">
        <w:rPr>
          <w:rFonts w:cs="Arial"/>
          <w:sz w:val="20"/>
        </w:rPr>
        <w:t xml:space="preserve">National Association of State </w:t>
      </w:r>
      <w:r w:rsidR="00D26CAE" w:rsidRPr="00C844B4">
        <w:rPr>
          <w:rFonts w:cs="Arial"/>
          <w:sz w:val="20"/>
        </w:rPr>
        <w:t xml:space="preserve">Auditors, </w:t>
      </w:r>
      <w:r w:rsidRPr="00C844B4">
        <w:rPr>
          <w:rFonts w:cs="Arial"/>
          <w:sz w:val="20"/>
        </w:rPr>
        <w:t>Comptrollers</w:t>
      </w:r>
      <w:r w:rsidR="00D26CAE" w:rsidRPr="00C844B4">
        <w:rPr>
          <w:rFonts w:cs="Arial"/>
          <w:sz w:val="20"/>
        </w:rPr>
        <w:t xml:space="preserve"> and Treasurers</w:t>
      </w:r>
    </w:p>
    <w:p w14:paraId="6712992B" w14:textId="77777777" w:rsidR="00C61F56" w:rsidRPr="00C844B4" w:rsidRDefault="00C61F56">
      <w:pPr>
        <w:pStyle w:val="Title"/>
        <w:rPr>
          <w:rFonts w:cs="Arial"/>
          <w:sz w:val="20"/>
        </w:rPr>
      </w:pPr>
    </w:p>
    <w:p w14:paraId="4F8AF417" w14:textId="77777777" w:rsidR="00C61F56" w:rsidRPr="00C844B4" w:rsidRDefault="00C61F56">
      <w:pPr>
        <w:jc w:val="center"/>
        <w:rPr>
          <w:rFonts w:ascii="Arial" w:hAnsi="Arial" w:cs="Arial"/>
          <w:i/>
          <w:iCs/>
          <w:sz w:val="20"/>
        </w:rPr>
      </w:pPr>
      <w:r w:rsidRPr="00C844B4">
        <w:rPr>
          <w:rFonts w:ascii="Arial" w:hAnsi="Arial" w:cs="Arial"/>
          <w:sz w:val="20"/>
        </w:rPr>
        <w:t xml:space="preserve">Responses to the </w:t>
      </w:r>
      <w:r w:rsidR="00093778">
        <w:rPr>
          <w:rFonts w:ascii="Arial" w:hAnsi="Arial" w:cs="Arial"/>
          <w:sz w:val="20"/>
        </w:rPr>
        <w:t>XBRL’s CAFR Demonstration Taxonomy</w:t>
      </w:r>
    </w:p>
    <w:p w14:paraId="20C2FEA8" w14:textId="72B976B2" w:rsidR="00C61F56" w:rsidRPr="00C844B4" w:rsidRDefault="00C61F56">
      <w:pPr>
        <w:jc w:val="center"/>
        <w:rPr>
          <w:rFonts w:ascii="Arial" w:hAnsi="Arial" w:cs="Arial"/>
          <w:iCs/>
          <w:sz w:val="20"/>
        </w:rPr>
      </w:pPr>
      <w:r w:rsidRPr="00C844B4">
        <w:rPr>
          <w:rFonts w:ascii="Arial" w:hAnsi="Arial" w:cs="Arial"/>
          <w:iCs/>
          <w:sz w:val="20"/>
        </w:rPr>
        <w:t>(</w:t>
      </w:r>
      <w:r w:rsidR="00812A8E">
        <w:rPr>
          <w:rFonts w:ascii="Arial" w:hAnsi="Arial" w:cs="Arial"/>
          <w:iCs/>
          <w:sz w:val="20"/>
        </w:rPr>
        <w:t xml:space="preserve">12 </w:t>
      </w:r>
      <w:r w:rsidR="00093778">
        <w:rPr>
          <w:rFonts w:ascii="Arial" w:hAnsi="Arial" w:cs="Arial"/>
          <w:iCs/>
          <w:sz w:val="20"/>
        </w:rPr>
        <w:t>r</w:t>
      </w:r>
      <w:r w:rsidR="001C4F28" w:rsidRPr="00C844B4">
        <w:rPr>
          <w:rFonts w:ascii="Arial" w:hAnsi="Arial" w:cs="Arial"/>
          <w:iCs/>
          <w:sz w:val="20"/>
        </w:rPr>
        <w:t>esponses</w:t>
      </w:r>
      <w:r w:rsidR="00812A8E">
        <w:rPr>
          <w:rFonts w:ascii="Arial" w:hAnsi="Arial" w:cs="Arial"/>
          <w:iCs/>
          <w:sz w:val="20"/>
        </w:rPr>
        <w:t>: 7</w:t>
      </w:r>
      <w:r w:rsidR="00093778">
        <w:rPr>
          <w:rFonts w:ascii="Arial" w:hAnsi="Arial" w:cs="Arial"/>
          <w:iCs/>
          <w:sz w:val="20"/>
        </w:rPr>
        <w:t xml:space="preserve"> </w:t>
      </w:r>
      <w:r w:rsidR="00AA7D7D" w:rsidRPr="00C844B4">
        <w:rPr>
          <w:rFonts w:ascii="Arial" w:hAnsi="Arial" w:cs="Arial"/>
          <w:iCs/>
          <w:sz w:val="20"/>
        </w:rPr>
        <w:t>state auditors</w:t>
      </w:r>
      <w:r w:rsidR="00425E8A" w:rsidRPr="00C844B4">
        <w:rPr>
          <w:rFonts w:ascii="Arial" w:hAnsi="Arial" w:cs="Arial"/>
          <w:iCs/>
          <w:sz w:val="20"/>
        </w:rPr>
        <w:t xml:space="preserve"> and </w:t>
      </w:r>
      <w:r w:rsidR="00812A8E">
        <w:rPr>
          <w:rFonts w:ascii="Arial" w:hAnsi="Arial" w:cs="Arial"/>
          <w:iCs/>
          <w:sz w:val="20"/>
        </w:rPr>
        <w:t xml:space="preserve">5 </w:t>
      </w:r>
      <w:r w:rsidR="001C4F28" w:rsidRPr="00C844B4">
        <w:rPr>
          <w:rFonts w:ascii="Arial" w:hAnsi="Arial" w:cs="Arial"/>
          <w:iCs/>
          <w:sz w:val="20"/>
        </w:rPr>
        <w:t>state comptrollers</w:t>
      </w:r>
      <w:r w:rsidRPr="00C844B4">
        <w:rPr>
          <w:rFonts w:ascii="Arial" w:hAnsi="Arial" w:cs="Arial"/>
          <w:iCs/>
          <w:sz w:val="20"/>
        </w:rPr>
        <w:t>)</w:t>
      </w:r>
    </w:p>
    <w:p w14:paraId="73B046E0" w14:textId="77777777" w:rsidR="00810F2D" w:rsidRPr="00C844B4" w:rsidRDefault="00810F2D">
      <w:pPr>
        <w:jc w:val="center"/>
        <w:rPr>
          <w:rFonts w:ascii="Arial" w:hAnsi="Arial" w:cs="Arial"/>
          <w:iCs/>
          <w:sz w:val="20"/>
        </w:rPr>
      </w:pPr>
    </w:p>
    <w:tbl>
      <w:tblPr>
        <w:tblW w:w="45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250"/>
        <w:gridCol w:w="8636"/>
      </w:tblGrid>
      <w:tr w:rsidR="005B7602" w:rsidRPr="00812A8E" w14:paraId="3FDA5005" w14:textId="77777777" w:rsidTr="005B7602">
        <w:trPr>
          <w:trHeight w:val="287"/>
          <w:tblHeader/>
        </w:trPr>
        <w:tc>
          <w:tcPr>
            <w:tcW w:w="632" w:type="pct"/>
          </w:tcPr>
          <w:p w14:paraId="4C9BE307" w14:textId="5ED35DDD" w:rsidR="005B7602" w:rsidRPr="00812A8E" w:rsidRDefault="005B7602" w:rsidP="00093778">
            <w:pPr>
              <w:jc w:val="center"/>
              <w:rPr>
                <w:rFonts w:ascii="Arial" w:hAnsi="Arial" w:cs="Arial"/>
                <w:b/>
                <w:sz w:val="20"/>
                <w:szCs w:val="20"/>
              </w:rPr>
            </w:pPr>
          </w:p>
        </w:tc>
        <w:tc>
          <w:tcPr>
            <w:tcW w:w="4368" w:type="pct"/>
          </w:tcPr>
          <w:p w14:paraId="1CA6A37A" w14:textId="77777777" w:rsidR="005B7602" w:rsidRPr="00812A8E" w:rsidRDefault="005B7602" w:rsidP="00093778">
            <w:pPr>
              <w:jc w:val="center"/>
              <w:rPr>
                <w:rFonts w:ascii="Arial" w:hAnsi="Arial" w:cs="Arial"/>
                <w:b/>
                <w:sz w:val="20"/>
                <w:szCs w:val="20"/>
              </w:rPr>
            </w:pPr>
            <w:r w:rsidRPr="00812A8E">
              <w:rPr>
                <w:rFonts w:ascii="Arial" w:hAnsi="Arial" w:cs="Arial"/>
                <w:b/>
                <w:sz w:val="20"/>
                <w:szCs w:val="20"/>
              </w:rPr>
              <w:t>Comment</w:t>
            </w:r>
          </w:p>
        </w:tc>
      </w:tr>
      <w:tr w:rsidR="005B7602" w:rsidRPr="00812A8E" w14:paraId="60A9DFED" w14:textId="77777777" w:rsidTr="005B7602">
        <w:trPr>
          <w:trHeight w:val="287"/>
          <w:tblHeader/>
        </w:trPr>
        <w:tc>
          <w:tcPr>
            <w:tcW w:w="632" w:type="pct"/>
          </w:tcPr>
          <w:p w14:paraId="6DB5AD40" w14:textId="77777777" w:rsidR="005B7602" w:rsidRPr="00812A8E" w:rsidRDefault="005B7602" w:rsidP="00093778">
            <w:pPr>
              <w:jc w:val="center"/>
              <w:rPr>
                <w:rFonts w:ascii="Arial" w:hAnsi="Arial" w:cs="Arial"/>
                <w:b/>
                <w:sz w:val="20"/>
                <w:szCs w:val="20"/>
              </w:rPr>
            </w:pPr>
          </w:p>
        </w:tc>
        <w:tc>
          <w:tcPr>
            <w:tcW w:w="4368" w:type="pct"/>
          </w:tcPr>
          <w:p w14:paraId="202FB119" w14:textId="77777777" w:rsidR="005B7602" w:rsidRPr="00812A8E" w:rsidRDefault="005B7602" w:rsidP="00093778">
            <w:pPr>
              <w:jc w:val="center"/>
              <w:rPr>
                <w:rFonts w:ascii="Arial" w:hAnsi="Arial" w:cs="Arial"/>
                <w:b/>
                <w:sz w:val="20"/>
                <w:szCs w:val="20"/>
              </w:rPr>
            </w:pPr>
          </w:p>
        </w:tc>
      </w:tr>
      <w:tr w:rsidR="005B7602" w:rsidRPr="00812A8E" w14:paraId="098EAB4A" w14:textId="77777777" w:rsidTr="005B7602">
        <w:trPr>
          <w:trHeight w:val="116"/>
        </w:trPr>
        <w:tc>
          <w:tcPr>
            <w:tcW w:w="5000" w:type="pct"/>
            <w:gridSpan w:val="2"/>
            <w:tcBorders>
              <w:bottom w:val="single" w:sz="4" w:space="0" w:color="auto"/>
            </w:tcBorders>
          </w:tcPr>
          <w:p w14:paraId="37A68024" w14:textId="228ABCBE" w:rsidR="005B7602" w:rsidRPr="00812A8E" w:rsidRDefault="005B7602" w:rsidP="00C2049F">
            <w:pPr>
              <w:widowControl w:val="0"/>
              <w:ind w:firstLine="9"/>
              <w:rPr>
                <w:rFonts w:ascii="Arial" w:hAnsi="Arial" w:cs="Arial"/>
                <w:sz w:val="20"/>
                <w:szCs w:val="20"/>
              </w:rPr>
            </w:pPr>
            <w:r w:rsidRPr="00812A8E">
              <w:rPr>
                <w:rFonts w:ascii="Arial" w:hAnsi="Arial" w:cs="Arial"/>
                <w:b/>
                <w:bCs/>
                <w:sz w:val="20"/>
                <w:szCs w:val="20"/>
              </w:rPr>
              <w:t xml:space="preserve">General </w:t>
            </w:r>
            <w:r>
              <w:rPr>
                <w:rFonts w:ascii="Arial" w:hAnsi="Arial" w:cs="Arial"/>
                <w:b/>
                <w:bCs/>
                <w:sz w:val="20"/>
                <w:szCs w:val="20"/>
              </w:rPr>
              <w:t>Comments</w:t>
            </w:r>
          </w:p>
        </w:tc>
      </w:tr>
      <w:tr w:rsidR="005B7602" w:rsidRPr="00812A8E" w14:paraId="500D495A" w14:textId="77777777" w:rsidTr="005B7602">
        <w:trPr>
          <w:trHeight w:val="116"/>
        </w:trPr>
        <w:tc>
          <w:tcPr>
            <w:tcW w:w="5000" w:type="pct"/>
            <w:gridSpan w:val="2"/>
            <w:tcBorders>
              <w:bottom w:val="single" w:sz="4" w:space="0" w:color="auto"/>
            </w:tcBorders>
          </w:tcPr>
          <w:p w14:paraId="1FEFDD66" w14:textId="77777777" w:rsidR="005B7602" w:rsidRPr="00812A8E" w:rsidRDefault="005B7602" w:rsidP="00C2049F">
            <w:pPr>
              <w:widowControl w:val="0"/>
              <w:ind w:firstLine="9"/>
              <w:rPr>
                <w:rFonts w:ascii="Arial" w:hAnsi="Arial" w:cs="Arial"/>
                <w:sz w:val="20"/>
                <w:szCs w:val="20"/>
              </w:rPr>
            </w:pPr>
          </w:p>
        </w:tc>
      </w:tr>
      <w:tr w:rsidR="005B7602" w:rsidRPr="00812A8E" w14:paraId="5129982B" w14:textId="77777777" w:rsidTr="005B7602">
        <w:trPr>
          <w:trHeight w:val="116"/>
        </w:trPr>
        <w:tc>
          <w:tcPr>
            <w:tcW w:w="632" w:type="pct"/>
          </w:tcPr>
          <w:p w14:paraId="5622791E" w14:textId="0C13259C" w:rsidR="005B7602" w:rsidRPr="00812A8E" w:rsidRDefault="005B7602" w:rsidP="002309E5">
            <w:pPr>
              <w:pStyle w:val="Heading2"/>
              <w:keepNext w:val="0"/>
              <w:rPr>
                <w:rFonts w:ascii="Arial" w:hAnsi="Arial" w:cs="Arial"/>
                <w:b w:val="0"/>
                <w:bCs w:val="0"/>
                <w:sz w:val="20"/>
                <w:szCs w:val="20"/>
              </w:rPr>
            </w:pPr>
          </w:p>
        </w:tc>
        <w:tc>
          <w:tcPr>
            <w:tcW w:w="4368" w:type="pct"/>
            <w:tcBorders>
              <w:bottom w:val="single" w:sz="4" w:space="0" w:color="auto"/>
            </w:tcBorders>
          </w:tcPr>
          <w:p w14:paraId="60B66ABC" w14:textId="1309A6A9" w:rsidR="005B7602" w:rsidRPr="00812A8E" w:rsidRDefault="005B7602" w:rsidP="00C2049F">
            <w:pPr>
              <w:widowControl w:val="0"/>
              <w:ind w:firstLine="9"/>
              <w:rPr>
                <w:rFonts w:ascii="Arial" w:hAnsi="Arial" w:cs="Arial"/>
                <w:color w:val="232323"/>
                <w:sz w:val="20"/>
                <w:szCs w:val="20"/>
              </w:rPr>
            </w:pPr>
            <w:r w:rsidRPr="00812A8E">
              <w:rPr>
                <w:rFonts w:ascii="Arial" w:hAnsi="Arial" w:cs="Arial"/>
                <w:sz w:val="20"/>
                <w:szCs w:val="20"/>
              </w:rPr>
              <w:t>We have not used XBRL taxonomies in the past and, therefore, we are unable to evaluate the appropriateness and usefulness of many of the elements and labels included. However, we believe XBRL US should consider our comments on specific elements regarding information in the documentation column.</w:t>
            </w:r>
          </w:p>
        </w:tc>
      </w:tr>
      <w:tr w:rsidR="005B7602" w:rsidRPr="00812A8E" w14:paraId="4AA10AB8" w14:textId="77777777" w:rsidTr="005B7602">
        <w:trPr>
          <w:trHeight w:val="116"/>
        </w:trPr>
        <w:tc>
          <w:tcPr>
            <w:tcW w:w="632" w:type="pct"/>
          </w:tcPr>
          <w:p w14:paraId="6A63B288" w14:textId="77777777" w:rsidR="005B7602" w:rsidRPr="00812A8E" w:rsidRDefault="005B7602" w:rsidP="002309E5">
            <w:pPr>
              <w:pStyle w:val="Heading2"/>
              <w:keepNext w:val="0"/>
              <w:rPr>
                <w:rFonts w:ascii="Arial" w:hAnsi="Arial" w:cs="Arial"/>
                <w:b w:val="0"/>
                <w:bCs w:val="0"/>
                <w:sz w:val="20"/>
                <w:szCs w:val="20"/>
              </w:rPr>
            </w:pPr>
          </w:p>
        </w:tc>
        <w:tc>
          <w:tcPr>
            <w:tcW w:w="4368" w:type="pct"/>
            <w:tcBorders>
              <w:bottom w:val="single" w:sz="4" w:space="0" w:color="auto"/>
            </w:tcBorders>
          </w:tcPr>
          <w:p w14:paraId="5B864F67" w14:textId="77777777" w:rsidR="005B7602" w:rsidRPr="00812A8E" w:rsidRDefault="005B7602" w:rsidP="00C2049F">
            <w:pPr>
              <w:widowControl w:val="0"/>
              <w:ind w:firstLine="9"/>
              <w:rPr>
                <w:rFonts w:ascii="Arial" w:hAnsi="Arial" w:cs="Arial"/>
                <w:sz w:val="20"/>
                <w:szCs w:val="20"/>
              </w:rPr>
            </w:pPr>
          </w:p>
        </w:tc>
      </w:tr>
      <w:tr w:rsidR="005B7602" w:rsidRPr="00812A8E" w14:paraId="5381FCCA" w14:textId="77777777" w:rsidTr="005B7602">
        <w:trPr>
          <w:trHeight w:val="116"/>
        </w:trPr>
        <w:tc>
          <w:tcPr>
            <w:tcW w:w="632" w:type="pct"/>
          </w:tcPr>
          <w:p w14:paraId="59FE487B" w14:textId="77777777" w:rsidR="005B7602" w:rsidRPr="00812A8E" w:rsidRDefault="005B7602" w:rsidP="002309E5">
            <w:pPr>
              <w:pStyle w:val="Heading2"/>
              <w:keepNext w:val="0"/>
              <w:rPr>
                <w:rFonts w:ascii="Arial" w:hAnsi="Arial" w:cs="Arial"/>
                <w:b w:val="0"/>
                <w:bCs w:val="0"/>
                <w:sz w:val="20"/>
                <w:szCs w:val="20"/>
              </w:rPr>
            </w:pPr>
          </w:p>
        </w:tc>
        <w:tc>
          <w:tcPr>
            <w:tcW w:w="4368" w:type="pct"/>
            <w:tcBorders>
              <w:bottom w:val="single" w:sz="4" w:space="0" w:color="auto"/>
            </w:tcBorders>
          </w:tcPr>
          <w:p w14:paraId="7F24D8E1" w14:textId="77777777" w:rsidR="005B7602" w:rsidRPr="00812A8E" w:rsidRDefault="005B7602" w:rsidP="00FE5F33">
            <w:pPr>
              <w:pStyle w:val="BodyText"/>
              <w:spacing w:after="120"/>
              <w:ind w:right="18"/>
              <w:rPr>
                <w:rFonts w:ascii="Arial" w:hAnsi="Arial" w:cs="Arial"/>
              </w:rPr>
            </w:pPr>
            <w:r w:rsidRPr="00812A8E">
              <w:rPr>
                <w:rFonts w:ascii="Arial" w:hAnsi="Arial" w:cs="Arial"/>
              </w:rPr>
              <w:t>We have reviewed the draft XBRL US CAFR taxonomy.  As requested, the following comments are provided for consideration:</w:t>
            </w:r>
          </w:p>
          <w:p w14:paraId="43A12141" w14:textId="77777777" w:rsidR="005B7602" w:rsidRPr="00812A8E" w:rsidRDefault="005B7602" w:rsidP="00FE5F33">
            <w:pPr>
              <w:pStyle w:val="BodyText"/>
              <w:widowControl w:val="0"/>
              <w:numPr>
                <w:ilvl w:val="0"/>
                <w:numId w:val="34"/>
              </w:numPr>
              <w:autoSpaceDE/>
              <w:autoSpaceDN/>
              <w:adjustRightInd/>
              <w:spacing w:after="120"/>
              <w:ind w:left="340" w:right="18"/>
              <w:rPr>
                <w:rFonts w:ascii="Arial" w:hAnsi="Arial" w:cs="Arial"/>
              </w:rPr>
            </w:pPr>
            <w:r w:rsidRPr="00812A8E">
              <w:rPr>
                <w:rFonts w:ascii="Arial" w:hAnsi="Arial" w:cs="Arial"/>
              </w:rPr>
              <w:t>Although Governmental Accounting, Auditing, and Financial Reporting (GAAFR) is referenced in column E and elsewhere in the taxonomy, the elements included do not seem to be all-inclusive.  Appendix E of the GAAFR includes a comprehensive listing of financial statement accounts and descriptions and would be a good reference to help build a more comprehensive taxonomy.  Examples of items not in column B of the taxonomy include:</w:t>
            </w:r>
          </w:p>
          <w:p w14:paraId="17859BA6" w14:textId="77777777" w:rsidR="005B7602" w:rsidRPr="00812A8E" w:rsidRDefault="005B7602" w:rsidP="00FE5F33">
            <w:pPr>
              <w:pStyle w:val="BodyText"/>
              <w:widowControl w:val="0"/>
              <w:numPr>
                <w:ilvl w:val="1"/>
                <w:numId w:val="32"/>
              </w:numPr>
              <w:autoSpaceDE/>
              <w:autoSpaceDN/>
              <w:adjustRightInd/>
              <w:spacing w:after="120"/>
              <w:ind w:left="790" w:right="18"/>
              <w:rPr>
                <w:rFonts w:ascii="Arial" w:hAnsi="Arial" w:cs="Arial"/>
              </w:rPr>
            </w:pPr>
            <w:r w:rsidRPr="00812A8E">
              <w:rPr>
                <w:rFonts w:ascii="Arial" w:hAnsi="Arial" w:cs="Arial"/>
              </w:rPr>
              <w:t>Lottery, Housing, and Research and Development (although it does include Parks and Recreation, Culture and Recreation, and Public Works).</w:t>
            </w:r>
          </w:p>
          <w:p w14:paraId="7BB0EB65" w14:textId="77777777" w:rsidR="005B7602" w:rsidRPr="00812A8E" w:rsidRDefault="005B7602" w:rsidP="00FE5F33">
            <w:pPr>
              <w:pStyle w:val="BodyText"/>
              <w:widowControl w:val="0"/>
              <w:numPr>
                <w:ilvl w:val="1"/>
                <w:numId w:val="32"/>
              </w:numPr>
              <w:autoSpaceDE/>
              <w:autoSpaceDN/>
              <w:adjustRightInd/>
              <w:spacing w:after="120"/>
              <w:ind w:left="790" w:right="18"/>
              <w:rPr>
                <w:rFonts w:ascii="Arial" w:hAnsi="Arial" w:cs="Arial"/>
              </w:rPr>
            </w:pPr>
            <w:r w:rsidRPr="00812A8E">
              <w:rPr>
                <w:rFonts w:ascii="Arial" w:hAnsi="Arial" w:cs="Arial"/>
              </w:rPr>
              <w:t>Sales tax and income tax (although it does include property tax).</w:t>
            </w:r>
          </w:p>
          <w:p w14:paraId="4D437575" w14:textId="77777777" w:rsidR="005B7602" w:rsidRPr="00812A8E" w:rsidRDefault="005B7602" w:rsidP="00FE5F33">
            <w:pPr>
              <w:pStyle w:val="BodyText"/>
              <w:widowControl w:val="0"/>
              <w:numPr>
                <w:ilvl w:val="1"/>
                <w:numId w:val="32"/>
              </w:numPr>
              <w:autoSpaceDE/>
              <w:autoSpaceDN/>
              <w:adjustRightInd/>
              <w:spacing w:after="120"/>
              <w:ind w:left="790" w:right="18"/>
              <w:rPr>
                <w:rFonts w:ascii="Arial" w:hAnsi="Arial" w:cs="Arial"/>
              </w:rPr>
            </w:pPr>
            <w:r w:rsidRPr="00812A8E">
              <w:rPr>
                <w:rFonts w:ascii="Arial" w:hAnsi="Arial" w:cs="Arial"/>
              </w:rPr>
              <w:t>OPEB liability, current and long-term (although it includes net OPEB liability and GASB requires total OPEB liability to be disclosed when a trust is not involved).</w:t>
            </w:r>
          </w:p>
          <w:p w14:paraId="2FFDD568" w14:textId="77777777" w:rsidR="005B7602" w:rsidRPr="00812A8E" w:rsidRDefault="005B7602" w:rsidP="00FE5F33">
            <w:pPr>
              <w:pStyle w:val="BodyText"/>
              <w:spacing w:after="120"/>
              <w:ind w:left="430" w:right="18"/>
              <w:rPr>
                <w:rFonts w:ascii="Arial" w:hAnsi="Arial" w:cs="Arial"/>
              </w:rPr>
            </w:pPr>
            <w:r w:rsidRPr="00812A8E">
              <w:rPr>
                <w:rFonts w:ascii="Arial" w:hAnsi="Arial" w:cs="Arial"/>
              </w:rPr>
              <w:t xml:space="preserve">Also, although debt refunding and debt service elements are included, are they </w:t>
            </w:r>
            <w:proofErr w:type="gramStart"/>
            <w:r w:rsidRPr="00812A8E">
              <w:rPr>
                <w:rFonts w:ascii="Arial" w:hAnsi="Arial" w:cs="Arial"/>
              </w:rPr>
              <w:t>sufficient</w:t>
            </w:r>
            <w:proofErr w:type="gramEnd"/>
            <w:r w:rsidRPr="00812A8E">
              <w:rPr>
                <w:rFonts w:ascii="Arial" w:hAnsi="Arial" w:cs="Arial"/>
              </w:rPr>
              <w:t xml:space="preserve"> for all bond</w:t>
            </w:r>
            <w:r w:rsidRPr="00812A8E">
              <w:rPr>
                <w:rFonts w:ascii="Arial" w:hAnsi="Arial" w:cs="Arial"/>
              </w:rPr>
              <w:noBreakHyphen/>
              <w:t>related accounts?</w:t>
            </w:r>
          </w:p>
          <w:p w14:paraId="37F0D0B2" w14:textId="77777777" w:rsidR="005B7602" w:rsidRPr="00812A8E" w:rsidRDefault="005B7602" w:rsidP="00FE5F33">
            <w:pPr>
              <w:pStyle w:val="BodyText"/>
              <w:widowControl w:val="0"/>
              <w:numPr>
                <w:ilvl w:val="0"/>
                <w:numId w:val="34"/>
              </w:numPr>
              <w:autoSpaceDE/>
              <w:autoSpaceDN/>
              <w:adjustRightInd/>
              <w:spacing w:after="120"/>
              <w:ind w:left="340" w:right="18"/>
              <w:rPr>
                <w:rFonts w:ascii="Arial" w:hAnsi="Arial" w:cs="Arial"/>
              </w:rPr>
            </w:pPr>
            <w:r w:rsidRPr="00812A8E">
              <w:rPr>
                <w:rFonts w:ascii="Arial" w:hAnsi="Arial" w:cs="Arial"/>
              </w:rPr>
              <w:t xml:space="preserve">The taxonomy does not include whether the </w:t>
            </w:r>
            <w:proofErr w:type="gramStart"/>
            <w:r w:rsidRPr="00812A8E">
              <w:rPr>
                <w:rFonts w:ascii="Arial" w:hAnsi="Arial" w:cs="Arial"/>
              </w:rPr>
              <w:t>particular element</w:t>
            </w:r>
            <w:proofErr w:type="gramEnd"/>
            <w:r w:rsidRPr="00812A8E">
              <w:rPr>
                <w:rFonts w:ascii="Arial" w:hAnsi="Arial" w:cs="Arial"/>
              </w:rPr>
              <w:t xml:space="preserve"> relates to the financial statements or to a note disclosure or whether the element is text or numeric.  Other taxonomies include these categories.  </w:t>
            </w:r>
          </w:p>
          <w:p w14:paraId="36F0EB5C" w14:textId="19078B86" w:rsidR="005B7602" w:rsidRPr="00812A8E" w:rsidRDefault="005B7602" w:rsidP="00FE5F33">
            <w:pPr>
              <w:pStyle w:val="BodyText"/>
              <w:widowControl w:val="0"/>
              <w:numPr>
                <w:ilvl w:val="0"/>
                <w:numId w:val="34"/>
              </w:numPr>
              <w:autoSpaceDE/>
              <w:autoSpaceDN/>
              <w:adjustRightInd/>
              <w:spacing w:after="120"/>
              <w:ind w:left="340" w:right="18"/>
              <w:rPr>
                <w:rFonts w:ascii="Arial" w:hAnsi="Arial" w:cs="Arial"/>
              </w:rPr>
            </w:pPr>
            <w:r w:rsidRPr="00812A8E">
              <w:rPr>
                <w:rFonts w:ascii="Arial" w:hAnsi="Arial" w:cs="Arial"/>
              </w:rPr>
              <w:t xml:space="preserve">As this is a taxonomy for State and local governments should the GREAT Act and Federal reporting requirements be incorporated? </w:t>
            </w:r>
          </w:p>
        </w:tc>
      </w:tr>
      <w:tr w:rsidR="005B7602" w:rsidRPr="00812A8E" w14:paraId="60C2D95E" w14:textId="77777777" w:rsidTr="005B7602">
        <w:trPr>
          <w:trHeight w:val="116"/>
        </w:trPr>
        <w:tc>
          <w:tcPr>
            <w:tcW w:w="632" w:type="pct"/>
          </w:tcPr>
          <w:p w14:paraId="3EC362F5" w14:textId="77777777" w:rsidR="005B7602" w:rsidRPr="00812A8E" w:rsidRDefault="005B7602" w:rsidP="002309E5">
            <w:pPr>
              <w:pStyle w:val="Heading2"/>
              <w:keepNext w:val="0"/>
              <w:rPr>
                <w:rFonts w:ascii="Arial" w:hAnsi="Arial" w:cs="Arial"/>
                <w:b w:val="0"/>
                <w:bCs w:val="0"/>
                <w:sz w:val="20"/>
                <w:szCs w:val="20"/>
              </w:rPr>
            </w:pPr>
          </w:p>
        </w:tc>
        <w:tc>
          <w:tcPr>
            <w:tcW w:w="4368" w:type="pct"/>
            <w:tcBorders>
              <w:bottom w:val="single" w:sz="4" w:space="0" w:color="auto"/>
            </w:tcBorders>
          </w:tcPr>
          <w:p w14:paraId="7AFD4166" w14:textId="77777777" w:rsidR="005B7602" w:rsidRPr="00812A8E" w:rsidRDefault="005B7602" w:rsidP="00C2049F">
            <w:pPr>
              <w:widowControl w:val="0"/>
              <w:ind w:firstLine="9"/>
              <w:rPr>
                <w:rFonts w:ascii="Arial" w:hAnsi="Arial" w:cs="Arial"/>
                <w:sz w:val="20"/>
                <w:szCs w:val="20"/>
              </w:rPr>
            </w:pPr>
          </w:p>
        </w:tc>
      </w:tr>
      <w:tr w:rsidR="005B7602" w:rsidRPr="00812A8E" w14:paraId="5D13B1C1" w14:textId="77777777" w:rsidTr="005B7602">
        <w:trPr>
          <w:trHeight w:val="116"/>
        </w:trPr>
        <w:tc>
          <w:tcPr>
            <w:tcW w:w="632" w:type="pct"/>
          </w:tcPr>
          <w:p w14:paraId="12CB9C1A" w14:textId="77777777" w:rsidR="005B7602" w:rsidRPr="00812A8E" w:rsidRDefault="005B7602" w:rsidP="00FF6B64">
            <w:pPr>
              <w:pStyle w:val="Heading2"/>
              <w:keepNext w:val="0"/>
              <w:rPr>
                <w:rFonts w:ascii="Arial" w:hAnsi="Arial" w:cs="Arial"/>
                <w:b w:val="0"/>
                <w:bCs w:val="0"/>
                <w:sz w:val="20"/>
                <w:szCs w:val="20"/>
              </w:rPr>
            </w:pPr>
          </w:p>
        </w:tc>
        <w:tc>
          <w:tcPr>
            <w:tcW w:w="4368" w:type="pct"/>
            <w:tcBorders>
              <w:bottom w:val="single" w:sz="4" w:space="0" w:color="auto"/>
            </w:tcBorders>
          </w:tcPr>
          <w:p w14:paraId="611E28E5" w14:textId="0A13E76D" w:rsidR="005B7602" w:rsidRPr="00812A8E" w:rsidRDefault="005B7602" w:rsidP="00FF6B64">
            <w:pPr>
              <w:widowControl w:val="0"/>
              <w:ind w:firstLine="9"/>
              <w:rPr>
                <w:rFonts w:ascii="Arial" w:hAnsi="Arial" w:cs="Arial"/>
                <w:sz w:val="20"/>
                <w:szCs w:val="20"/>
              </w:rPr>
            </w:pPr>
            <w:r w:rsidRPr="00812A8E">
              <w:rPr>
                <w:rFonts w:ascii="Arial" w:hAnsi="Arial" w:cs="Arial"/>
                <w:sz w:val="20"/>
                <w:szCs w:val="20"/>
              </w:rPr>
              <w:t>Our basic feedback is this makes sense, but the devil is in the details and how the governments are constructed and or how they report information.  A government can comply with GAAP and look very different from another government that also complies with GAAP.</w:t>
            </w:r>
          </w:p>
        </w:tc>
      </w:tr>
      <w:tr w:rsidR="005B7602" w:rsidRPr="00812A8E" w14:paraId="2A8CABAA" w14:textId="77777777" w:rsidTr="005B7602">
        <w:trPr>
          <w:trHeight w:val="116"/>
        </w:trPr>
        <w:tc>
          <w:tcPr>
            <w:tcW w:w="632" w:type="pct"/>
          </w:tcPr>
          <w:p w14:paraId="155D3DCA" w14:textId="77777777" w:rsidR="005B7602" w:rsidRPr="00812A8E" w:rsidRDefault="005B7602" w:rsidP="00FF6B64">
            <w:pPr>
              <w:pStyle w:val="Heading2"/>
              <w:keepNext w:val="0"/>
              <w:rPr>
                <w:rFonts w:ascii="Arial" w:hAnsi="Arial" w:cs="Arial"/>
                <w:b w:val="0"/>
                <w:bCs w:val="0"/>
                <w:sz w:val="20"/>
                <w:szCs w:val="20"/>
              </w:rPr>
            </w:pPr>
          </w:p>
        </w:tc>
        <w:tc>
          <w:tcPr>
            <w:tcW w:w="4368" w:type="pct"/>
            <w:tcBorders>
              <w:bottom w:val="single" w:sz="4" w:space="0" w:color="auto"/>
            </w:tcBorders>
          </w:tcPr>
          <w:p w14:paraId="7B95528B" w14:textId="77777777" w:rsidR="005B7602" w:rsidRPr="00812A8E" w:rsidRDefault="005B7602" w:rsidP="00FF6B64">
            <w:pPr>
              <w:widowControl w:val="0"/>
              <w:ind w:right="1210" w:firstLine="9"/>
              <w:rPr>
                <w:rFonts w:ascii="Arial" w:hAnsi="Arial" w:cs="Arial"/>
                <w:color w:val="232323"/>
                <w:sz w:val="20"/>
                <w:szCs w:val="20"/>
              </w:rPr>
            </w:pPr>
          </w:p>
        </w:tc>
      </w:tr>
      <w:tr w:rsidR="005B7602" w:rsidRPr="00812A8E" w14:paraId="63932E7C" w14:textId="77777777" w:rsidTr="005B7602">
        <w:trPr>
          <w:trHeight w:val="116"/>
        </w:trPr>
        <w:tc>
          <w:tcPr>
            <w:tcW w:w="632" w:type="pct"/>
          </w:tcPr>
          <w:p w14:paraId="71A25453" w14:textId="7F3FC007" w:rsidR="005B7602" w:rsidRPr="00812A8E" w:rsidRDefault="005B7602" w:rsidP="00FF6B64">
            <w:pPr>
              <w:pStyle w:val="Heading2"/>
              <w:keepNext w:val="0"/>
              <w:rPr>
                <w:rFonts w:ascii="Arial" w:hAnsi="Arial" w:cs="Arial"/>
                <w:b w:val="0"/>
                <w:bCs w:val="0"/>
                <w:sz w:val="20"/>
                <w:szCs w:val="20"/>
              </w:rPr>
            </w:pPr>
          </w:p>
        </w:tc>
        <w:tc>
          <w:tcPr>
            <w:tcW w:w="4368" w:type="pct"/>
            <w:tcBorders>
              <w:bottom w:val="single" w:sz="4" w:space="0" w:color="auto"/>
            </w:tcBorders>
          </w:tcPr>
          <w:p w14:paraId="3D717412" w14:textId="7CEBBF45" w:rsidR="005B7602" w:rsidRPr="00812A8E" w:rsidRDefault="005B7602" w:rsidP="00FF6B64">
            <w:pPr>
              <w:rPr>
                <w:rFonts w:ascii="Arial" w:hAnsi="Arial" w:cs="Arial"/>
                <w:sz w:val="20"/>
                <w:szCs w:val="20"/>
              </w:rPr>
            </w:pPr>
            <w:r w:rsidRPr="00812A8E">
              <w:rPr>
                <w:rFonts w:ascii="Arial" w:hAnsi="Arial" w:cs="Arial"/>
                <w:sz w:val="20"/>
                <w:szCs w:val="20"/>
              </w:rPr>
              <w:t>From our very limited exposure to XBRL, I can only say that it stands to reason that users (and auditors) of financial data in the future could benefit from such technology.  We recently launched a data analytics team within our office because we see the future of auditing huge programs such as Medicaid will require big data analytics, and that will require normalization of the data.</w:t>
            </w:r>
          </w:p>
          <w:p w14:paraId="447E9D6C" w14:textId="77777777" w:rsidR="005B7602" w:rsidRPr="00812A8E" w:rsidRDefault="005B7602" w:rsidP="00FF6B64">
            <w:pPr>
              <w:rPr>
                <w:rFonts w:ascii="Arial" w:hAnsi="Arial" w:cs="Arial"/>
                <w:sz w:val="20"/>
                <w:szCs w:val="20"/>
              </w:rPr>
            </w:pPr>
          </w:p>
          <w:p w14:paraId="486A0BA1" w14:textId="501D15CA" w:rsidR="005B7602" w:rsidRPr="00812A8E" w:rsidRDefault="005B7602" w:rsidP="00FF6B64">
            <w:pPr>
              <w:rPr>
                <w:rFonts w:ascii="Arial" w:hAnsi="Arial" w:cs="Arial"/>
                <w:sz w:val="20"/>
                <w:szCs w:val="20"/>
              </w:rPr>
            </w:pPr>
            <w:r w:rsidRPr="00812A8E">
              <w:rPr>
                <w:rFonts w:ascii="Arial" w:hAnsi="Arial" w:cs="Arial"/>
                <w:sz w:val="20"/>
                <w:szCs w:val="20"/>
              </w:rPr>
              <w:t xml:space="preserve">The same logic applies to financial statement data.  </w:t>
            </w:r>
            <w:proofErr w:type="gramStart"/>
            <w:r w:rsidRPr="00812A8E">
              <w:rPr>
                <w:rFonts w:ascii="Arial" w:hAnsi="Arial" w:cs="Arial"/>
                <w:sz w:val="20"/>
                <w:szCs w:val="20"/>
              </w:rPr>
              <w:t>In order for</w:t>
            </w:r>
            <w:proofErr w:type="gramEnd"/>
            <w:r w:rsidRPr="00812A8E">
              <w:rPr>
                <w:rFonts w:ascii="Arial" w:hAnsi="Arial" w:cs="Arial"/>
                <w:sz w:val="20"/>
                <w:szCs w:val="20"/>
              </w:rPr>
              <w:t xml:space="preserve"> the data to be comparable across agencies, states, or other entities, everyone will have had to agree to a standardized reporting language and model.</w:t>
            </w:r>
          </w:p>
          <w:p w14:paraId="274CFFB3" w14:textId="77777777" w:rsidR="005B7602" w:rsidRPr="00812A8E" w:rsidRDefault="005B7602" w:rsidP="00FF6B64">
            <w:pPr>
              <w:rPr>
                <w:rFonts w:ascii="Arial" w:hAnsi="Arial" w:cs="Arial"/>
                <w:sz w:val="20"/>
                <w:szCs w:val="20"/>
              </w:rPr>
            </w:pPr>
          </w:p>
          <w:p w14:paraId="4FFA3232" w14:textId="74F565F9" w:rsidR="005B7602" w:rsidRPr="00812A8E" w:rsidRDefault="005B7602" w:rsidP="00FF6B64">
            <w:pPr>
              <w:rPr>
                <w:rFonts w:ascii="Arial" w:hAnsi="Arial" w:cs="Arial"/>
                <w:sz w:val="20"/>
                <w:szCs w:val="20"/>
              </w:rPr>
            </w:pPr>
            <w:r w:rsidRPr="00812A8E">
              <w:rPr>
                <w:rFonts w:ascii="Arial" w:hAnsi="Arial" w:cs="Arial"/>
                <w:sz w:val="20"/>
                <w:szCs w:val="20"/>
              </w:rPr>
              <w:t>So, from a philosophical (audit) standpoint, I think we support this direction.  However, I do not speak for the state controller or treasurer.</w:t>
            </w:r>
          </w:p>
          <w:p w14:paraId="4C647C88" w14:textId="77777777" w:rsidR="005B7602" w:rsidRPr="00812A8E" w:rsidRDefault="005B7602" w:rsidP="00FF6B64">
            <w:pPr>
              <w:rPr>
                <w:rFonts w:ascii="Arial" w:hAnsi="Arial" w:cs="Arial"/>
                <w:sz w:val="20"/>
                <w:szCs w:val="20"/>
              </w:rPr>
            </w:pPr>
          </w:p>
          <w:p w14:paraId="73036052" w14:textId="2504DEB0" w:rsidR="005B7602" w:rsidRPr="00812A8E" w:rsidRDefault="005B7602" w:rsidP="00FF6B64">
            <w:pPr>
              <w:rPr>
                <w:rFonts w:ascii="Arial" w:hAnsi="Arial" w:cs="Arial"/>
                <w:sz w:val="20"/>
                <w:szCs w:val="20"/>
              </w:rPr>
            </w:pPr>
            <w:r w:rsidRPr="00812A8E">
              <w:rPr>
                <w:rFonts w:ascii="Arial" w:hAnsi="Arial" w:cs="Arial"/>
                <w:sz w:val="20"/>
                <w:szCs w:val="20"/>
              </w:rPr>
              <w:t>And</w:t>
            </w:r>
            <w:r>
              <w:rPr>
                <w:rFonts w:ascii="Arial" w:hAnsi="Arial" w:cs="Arial"/>
                <w:sz w:val="20"/>
                <w:szCs w:val="20"/>
              </w:rPr>
              <w:t>,</w:t>
            </w:r>
            <w:r w:rsidRPr="00812A8E">
              <w:rPr>
                <w:rFonts w:ascii="Arial" w:hAnsi="Arial" w:cs="Arial"/>
                <w:sz w:val="20"/>
                <w:szCs w:val="20"/>
              </w:rPr>
              <w:t xml:space="preserve"> we would need to be familiar with the new accounting system </w:t>
            </w:r>
            <w:r>
              <w:rPr>
                <w:rFonts w:ascii="Arial" w:hAnsi="Arial" w:cs="Arial"/>
                <w:sz w:val="20"/>
                <w:szCs w:val="20"/>
              </w:rPr>
              <w:t>that our state</w:t>
            </w:r>
            <w:r w:rsidRPr="00812A8E">
              <w:rPr>
                <w:rFonts w:ascii="Arial" w:hAnsi="Arial" w:cs="Arial"/>
                <w:sz w:val="20"/>
                <w:szCs w:val="20"/>
              </w:rPr>
              <w:t xml:space="preserve"> is implementing to be able to intelligently comment on any chart of accounts or similar data.</w:t>
            </w:r>
          </w:p>
        </w:tc>
      </w:tr>
      <w:tr w:rsidR="005B7602" w:rsidRPr="00812A8E" w14:paraId="411D9368" w14:textId="77777777" w:rsidTr="005B7602">
        <w:trPr>
          <w:trHeight w:val="116"/>
        </w:trPr>
        <w:tc>
          <w:tcPr>
            <w:tcW w:w="632" w:type="pct"/>
          </w:tcPr>
          <w:p w14:paraId="206B3F43" w14:textId="77777777" w:rsidR="005B7602" w:rsidRPr="00812A8E" w:rsidRDefault="005B7602" w:rsidP="00FF6B64">
            <w:pPr>
              <w:pStyle w:val="Heading2"/>
              <w:keepNext w:val="0"/>
              <w:rPr>
                <w:rFonts w:ascii="Arial" w:hAnsi="Arial" w:cs="Arial"/>
                <w:b w:val="0"/>
                <w:bCs w:val="0"/>
                <w:sz w:val="20"/>
                <w:szCs w:val="20"/>
              </w:rPr>
            </w:pPr>
          </w:p>
        </w:tc>
        <w:tc>
          <w:tcPr>
            <w:tcW w:w="4368" w:type="pct"/>
            <w:tcBorders>
              <w:bottom w:val="single" w:sz="4" w:space="0" w:color="auto"/>
            </w:tcBorders>
          </w:tcPr>
          <w:p w14:paraId="795EB39D" w14:textId="77777777" w:rsidR="005B7602" w:rsidRPr="00812A8E" w:rsidRDefault="005B7602" w:rsidP="00FF6B64">
            <w:pPr>
              <w:widowControl w:val="0"/>
              <w:ind w:right="1210" w:firstLine="9"/>
              <w:rPr>
                <w:rFonts w:ascii="Arial" w:hAnsi="Arial" w:cs="Arial"/>
                <w:color w:val="232323"/>
                <w:sz w:val="20"/>
                <w:szCs w:val="20"/>
              </w:rPr>
            </w:pPr>
          </w:p>
        </w:tc>
      </w:tr>
      <w:tr w:rsidR="005B7602" w:rsidRPr="00812A8E" w14:paraId="152A05F6" w14:textId="77777777" w:rsidTr="005B7602">
        <w:trPr>
          <w:trHeight w:val="116"/>
        </w:trPr>
        <w:tc>
          <w:tcPr>
            <w:tcW w:w="632" w:type="pct"/>
          </w:tcPr>
          <w:p w14:paraId="26ACE2E9" w14:textId="77777777" w:rsidR="005B7602" w:rsidRPr="00812A8E" w:rsidRDefault="005B7602" w:rsidP="00FF6B64">
            <w:pPr>
              <w:pStyle w:val="Heading2"/>
              <w:keepNext w:val="0"/>
              <w:rPr>
                <w:rFonts w:ascii="Arial" w:hAnsi="Arial" w:cs="Arial"/>
                <w:b w:val="0"/>
                <w:bCs w:val="0"/>
                <w:sz w:val="20"/>
                <w:szCs w:val="20"/>
              </w:rPr>
            </w:pPr>
          </w:p>
        </w:tc>
        <w:tc>
          <w:tcPr>
            <w:tcW w:w="4368" w:type="pct"/>
            <w:tcBorders>
              <w:bottom w:val="single" w:sz="4" w:space="0" w:color="auto"/>
            </w:tcBorders>
          </w:tcPr>
          <w:p w14:paraId="2F371CD9" w14:textId="4629F134" w:rsidR="005B7602" w:rsidRPr="00812A8E" w:rsidRDefault="005B7602" w:rsidP="00B37858">
            <w:pPr>
              <w:widowControl w:val="0"/>
              <w:ind w:firstLine="9"/>
              <w:rPr>
                <w:rFonts w:ascii="Arial" w:hAnsi="Arial" w:cs="Arial"/>
                <w:color w:val="232323"/>
                <w:sz w:val="20"/>
                <w:szCs w:val="20"/>
              </w:rPr>
            </w:pPr>
            <w:r w:rsidRPr="00812A8E">
              <w:rPr>
                <w:rFonts w:ascii="Arial" w:hAnsi="Arial" w:cs="Arial"/>
                <w:color w:val="232323"/>
                <w:sz w:val="20"/>
                <w:szCs w:val="20"/>
              </w:rPr>
              <w:t xml:space="preserve">Overall, we believe the definitions could be simplified and put in layman’s terms.  However, if there is a desire to maintain language from authoritative guidance, on concepts 6, 19, 20, 22, 27, 38, 49, 68, 72, 79, 80, 92, 134, 136, 149, 154, 155, 170, 171, 172 and 173, we would suggest limiting the definitions to </w:t>
            </w:r>
            <w:r>
              <w:rPr>
                <w:rFonts w:ascii="Arial" w:hAnsi="Arial" w:cs="Arial"/>
                <w:color w:val="232323"/>
                <w:sz w:val="20"/>
                <w:szCs w:val="20"/>
              </w:rPr>
              <w:t xml:space="preserve">the </w:t>
            </w:r>
            <w:r w:rsidRPr="00812A8E">
              <w:rPr>
                <w:rFonts w:ascii="Arial" w:hAnsi="Arial" w:cs="Arial"/>
                <w:color w:val="232323"/>
                <w:sz w:val="20"/>
                <w:szCs w:val="20"/>
              </w:rPr>
              <w:t>first sentence. Further, if such a commitment is made to list sources, a decision should be made as to whether to adhere to authoritative sources or not. The GAAFR is not an authoritative source, but is referenced in several items (Concepts 1, 2, 50, 196)</w:t>
            </w:r>
          </w:p>
          <w:p w14:paraId="5B058B7C" w14:textId="77777777" w:rsidR="005B7602" w:rsidRPr="00812A8E" w:rsidRDefault="005B7602" w:rsidP="00B37858">
            <w:pPr>
              <w:widowControl w:val="0"/>
              <w:ind w:firstLine="9"/>
              <w:rPr>
                <w:rFonts w:ascii="Arial" w:hAnsi="Arial" w:cs="Arial"/>
                <w:color w:val="232323"/>
                <w:sz w:val="20"/>
                <w:szCs w:val="20"/>
              </w:rPr>
            </w:pPr>
          </w:p>
          <w:p w14:paraId="1B59FDD4" w14:textId="77777777" w:rsidR="005B7602" w:rsidRPr="00812A8E" w:rsidRDefault="005B7602" w:rsidP="00B37858">
            <w:pPr>
              <w:pStyle w:val="ListParagraph"/>
              <w:ind w:left="-20"/>
              <w:jc w:val="both"/>
              <w:rPr>
                <w:rFonts w:ascii="Arial" w:hAnsi="Arial" w:cs="Arial"/>
                <w:sz w:val="20"/>
                <w:szCs w:val="20"/>
              </w:rPr>
            </w:pPr>
            <w:r w:rsidRPr="00812A8E">
              <w:rPr>
                <w:rFonts w:ascii="Arial" w:hAnsi="Arial" w:cs="Arial"/>
                <w:sz w:val="20"/>
                <w:szCs w:val="20"/>
              </w:rPr>
              <w:t>Alternatively, there are several items that include a definition without any source (Concepts 25, 40, 57, 58, 73, 83, 89, 91, 94, 107, 108, 119, 128, 129, 132, 140, 141, 142, 160, 160, 168, 190, 191, 192). Some consideration should be given to whether it will be easier to maintain if concepts are not directly tied to standards that frequently change; regardless, consistency should be pursued for all included concepts.</w:t>
            </w:r>
          </w:p>
          <w:p w14:paraId="5ACDA8C4" w14:textId="77777777" w:rsidR="005B7602" w:rsidRPr="00812A8E" w:rsidRDefault="005B7602" w:rsidP="00B37858">
            <w:pPr>
              <w:ind w:left="-20"/>
              <w:jc w:val="both"/>
              <w:rPr>
                <w:rFonts w:ascii="Arial" w:hAnsi="Arial" w:cs="Arial"/>
                <w:sz w:val="20"/>
                <w:szCs w:val="20"/>
              </w:rPr>
            </w:pPr>
          </w:p>
          <w:p w14:paraId="2EB948C9" w14:textId="76F2FED2" w:rsidR="005B7602" w:rsidRPr="00812A8E" w:rsidRDefault="005B7602" w:rsidP="00B37858">
            <w:pPr>
              <w:ind w:left="-20"/>
              <w:jc w:val="both"/>
              <w:rPr>
                <w:rFonts w:ascii="Arial" w:hAnsi="Arial" w:cs="Arial"/>
                <w:sz w:val="20"/>
                <w:szCs w:val="20"/>
              </w:rPr>
            </w:pPr>
            <w:r w:rsidRPr="00812A8E">
              <w:rPr>
                <w:rFonts w:ascii="Arial" w:hAnsi="Arial" w:cs="Arial"/>
                <w:sz w:val="20"/>
                <w:szCs w:val="20"/>
              </w:rPr>
              <w:t>The ‘calculation parent’ field appears to be inconsistently utilized, where it is included for several financial statement line items but not for others.</w:t>
            </w:r>
          </w:p>
        </w:tc>
      </w:tr>
      <w:tr w:rsidR="005B7602" w:rsidRPr="00812A8E" w14:paraId="38E3A0D7" w14:textId="77777777" w:rsidTr="005B7602">
        <w:trPr>
          <w:trHeight w:val="116"/>
        </w:trPr>
        <w:tc>
          <w:tcPr>
            <w:tcW w:w="632" w:type="pct"/>
          </w:tcPr>
          <w:p w14:paraId="08337807" w14:textId="77777777" w:rsidR="005B7602" w:rsidRPr="00812A8E" w:rsidRDefault="005B7602" w:rsidP="00FF6B64">
            <w:pPr>
              <w:pStyle w:val="Heading2"/>
              <w:keepNext w:val="0"/>
              <w:rPr>
                <w:rFonts w:ascii="Arial" w:hAnsi="Arial" w:cs="Arial"/>
                <w:b w:val="0"/>
                <w:bCs w:val="0"/>
                <w:sz w:val="20"/>
                <w:szCs w:val="20"/>
              </w:rPr>
            </w:pPr>
          </w:p>
        </w:tc>
        <w:tc>
          <w:tcPr>
            <w:tcW w:w="4368" w:type="pct"/>
            <w:tcBorders>
              <w:bottom w:val="single" w:sz="4" w:space="0" w:color="auto"/>
            </w:tcBorders>
          </w:tcPr>
          <w:p w14:paraId="6EFB471A" w14:textId="77777777" w:rsidR="005B7602" w:rsidRPr="00812A8E" w:rsidRDefault="005B7602" w:rsidP="00FF6B64">
            <w:pPr>
              <w:widowControl w:val="0"/>
              <w:ind w:right="1210" w:firstLine="9"/>
              <w:rPr>
                <w:rFonts w:ascii="Arial" w:hAnsi="Arial" w:cs="Arial"/>
                <w:color w:val="232323"/>
                <w:sz w:val="20"/>
                <w:szCs w:val="20"/>
              </w:rPr>
            </w:pPr>
          </w:p>
        </w:tc>
      </w:tr>
      <w:tr w:rsidR="005B7602" w:rsidRPr="00812A8E" w14:paraId="235135C3" w14:textId="77777777" w:rsidTr="005B7602">
        <w:trPr>
          <w:trHeight w:val="116"/>
        </w:trPr>
        <w:tc>
          <w:tcPr>
            <w:tcW w:w="632" w:type="pct"/>
          </w:tcPr>
          <w:p w14:paraId="21A69D6C" w14:textId="4BB6BC69" w:rsidR="005B7602" w:rsidRPr="00812A8E" w:rsidRDefault="005B7602" w:rsidP="00FF6B64">
            <w:pPr>
              <w:pStyle w:val="Heading2"/>
              <w:keepNext w:val="0"/>
              <w:rPr>
                <w:rFonts w:ascii="Arial" w:hAnsi="Arial" w:cs="Arial"/>
                <w:b w:val="0"/>
                <w:bCs w:val="0"/>
                <w:sz w:val="20"/>
                <w:szCs w:val="20"/>
              </w:rPr>
            </w:pPr>
          </w:p>
        </w:tc>
        <w:tc>
          <w:tcPr>
            <w:tcW w:w="4368" w:type="pct"/>
            <w:tcBorders>
              <w:bottom w:val="single" w:sz="4" w:space="0" w:color="auto"/>
            </w:tcBorders>
          </w:tcPr>
          <w:p w14:paraId="50428766" w14:textId="187CAD77" w:rsidR="005B7602" w:rsidRPr="00812A8E" w:rsidRDefault="005B7602" w:rsidP="00FF6B64">
            <w:pPr>
              <w:widowControl w:val="0"/>
              <w:ind w:right="1210" w:firstLine="9"/>
              <w:rPr>
                <w:rFonts w:ascii="Arial" w:hAnsi="Arial" w:cs="Arial"/>
                <w:color w:val="232323"/>
                <w:sz w:val="20"/>
                <w:szCs w:val="20"/>
              </w:rPr>
            </w:pPr>
            <w:r w:rsidRPr="00812A8E">
              <w:rPr>
                <w:rFonts w:ascii="Arial" w:hAnsi="Arial" w:cs="Arial"/>
                <w:sz w:val="20"/>
                <w:szCs w:val="20"/>
              </w:rPr>
              <w:t xml:space="preserve">We do not have comments on this </w:t>
            </w:r>
            <w:proofErr w:type="gramStart"/>
            <w:r w:rsidRPr="00812A8E">
              <w:rPr>
                <w:rFonts w:ascii="Arial" w:hAnsi="Arial" w:cs="Arial"/>
                <w:sz w:val="20"/>
                <w:szCs w:val="20"/>
              </w:rPr>
              <w:t>at this time</w:t>
            </w:r>
            <w:proofErr w:type="gramEnd"/>
            <w:r w:rsidRPr="00812A8E">
              <w:rPr>
                <w:rFonts w:ascii="Arial" w:hAnsi="Arial" w:cs="Arial"/>
                <w:sz w:val="20"/>
                <w:szCs w:val="20"/>
              </w:rPr>
              <w:t>.</w:t>
            </w:r>
          </w:p>
        </w:tc>
      </w:tr>
      <w:tr w:rsidR="005B7602" w:rsidRPr="00812A8E" w14:paraId="7E2FFF36" w14:textId="77777777" w:rsidTr="005B7602">
        <w:trPr>
          <w:trHeight w:val="116"/>
        </w:trPr>
        <w:tc>
          <w:tcPr>
            <w:tcW w:w="632" w:type="pct"/>
          </w:tcPr>
          <w:p w14:paraId="7D884E48" w14:textId="77777777" w:rsidR="005B7602" w:rsidRPr="00812A8E" w:rsidRDefault="005B7602" w:rsidP="00FF6B64">
            <w:pPr>
              <w:pStyle w:val="Heading2"/>
              <w:keepNext w:val="0"/>
              <w:rPr>
                <w:rFonts w:ascii="Arial" w:hAnsi="Arial" w:cs="Arial"/>
                <w:b w:val="0"/>
                <w:bCs w:val="0"/>
                <w:sz w:val="20"/>
                <w:szCs w:val="20"/>
              </w:rPr>
            </w:pPr>
          </w:p>
        </w:tc>
        <w:tc>
          <w:tcPr>
            <w:tcW w:w="4368" w:type="pct"/>
            <w:tcBorders>
              <w:bottom w:val="single" w:sz="4" w:space="0" w:color="auto"/>
            </w:tcBorders>
          </w:tcPr>
          <w:p w14:paraId="5CA9EE83" w14:textId="77777777" w:rsidR="005B7602" w:rsidRPr="00812A8E" w:rsidRDefault="005B7602" w:rsidP="00FF6B64">
            <w:pPr>
              <w:widowControl w:val="0"/>
              <w:ind w:right="1210" w:firstLine="9"/>
              <w:rPr>
                <w:rFonts w:ascii="Arial" w:hAnsi="Arial" w:cs="Arial"/>
                <w:color w:val="232323"/>
                <w:sz w:val="20"/>
                <w:szCs w:val="20"/>
              </w:rPr>
            </w:pPr>
          </w:p>
        </w:tc>
      </w:tr>
      <w:tr w:rsidR="005B7602" w:rsidRPr="00812A8E" w14:paraId="461D17AE" w14:textId="77777777" w:rsidTr="005B7602">
        <w:trPr>
          <w:trHeight w:val="116"/>
        </w:trPr>
        <w:tc>
          <w:tcPr>
            <w:tcW w:w="632" w:type="pct"/>
          </w:tcPr>
          <w:p w14:paraId="7DD879D9" w14:textId="77777777" w:rsidR="005B7602" w:rsidRPr="00812A8E" w:rsidRDefault="005B7602" w:rsidP="00FF6B64">
            <w:pPr>
              <w:pStyle w:val="Heading2"/>
              <w:keepNext w:val="0"/>
              <w:rPr>
                <w:rFonts w:ascii="Arial" w:hAnsi="Arial" w:cs="Arial"/>
                <w:b w:val="0"/>
                <w:bCs w:val="0"/>
                <w:sz w:val="20"/>
                <w:szCs w:val="20"/>
              </w:rPr>
            </w:pPr>
          </w:p>
        </w:tc>
        <w:tc>
          <w:tcPr>
            <w:tcW w:w="4368" w:type="pct"/>
            <w:tcBorders>
              <w:bottom w:val="single" w:sz="4" w:space="0" w:color="auto"/>
            </w:tcBorders>
          </w:tcPr>
          <w:p w14:paraId="2490125C" w14:textId="1A95ECE8" w:rsidR="005B7602" w:rsidRPr="00812A8E" w:rsidRDefault="005B7602" w:rsidP="00795614">
            <w:pPr>
              <w:rPr>
                <w:rFonts w:ascii="Arial" w:hAnsi="Arial" w:cs="Arial"/>
                <w:color w:val="000000"/>
                <w:sz w:val="20"/>
                <w:szCs w:val="20"/>
              </w:rPr>
            </w:pPr>
            <w:r w:rsidRPr="00812A8E">
              <w:rPr>
                <w:rFonts w:ascii="Arial" w:hAnsi="Arial" w:cs="Arial"/>
                <w:color w:val="000000"/>
                <w:sz w:val="20"/>
                <w:szCs w:val="20"/>
              </w:rPr>
              <w:t xml:space="preserve">The fact that this spreadsheet is in Alphabetic Order made it very difficult to </w:t>
            </w:r>
            <w:r>
              <w:rPr>
                <w:rFonts w:ascii="Arial" w:hAnsi="Arial" w:cs="Arial"/>
                <w:color w:val="000000"/>
                <w:sz w:val="20"/>
                <w:szCs w:val="20"/>
              </w:rPr>
              <w:t>a</w:t>
            </w:r>
            <w:r w:rsidRPr="00812A8E">
              <w:rPr>
                <w:rFonts w:ascii="Arial" w:hAnsi="Arial" w:cs="Arial"/>
                <w:color w:val="000000"/>
                <w:sz w:val="20"/>
                <w:szCs w:val="20"/>
              </w:rPr>
              <w:t xml:space="preserve">nalyze.  I suggest that more than one Schedule be prepared for balance sheet accounts and statement of operation accounts (government-wide and funds).  The information should be placed in the order the accounts/transactions would be presented on the statements.  Also, the terminology is foreign to most of us.  We have no idea what an Axis, Domain, or Member, etc. is.  Therefore, it is difficult to know </w:t>
            </w:r>
            <w:proofErr w:type="gramStart"/>
            <w:r w:rsidRPr="00812A8E">
              <w:rPr>
                <w:rFonts w:ascii="Arial" w:hAnsi="Arial" w:cs="Arial"/>
                <w:color w:val="000000"/>
                <w:sz w:val="20"/>
                <w:szCs w:val="20"/>
              </w:rPr>
              <w:t>whether or not</w:t>
            </w:r>
            <w:proofErr w:type="gramEnd"/>
            <w:r w:rsidRPr="00812A8E">
              <w:rPr>
                <w:rFonts w:ascii="Arial" w:hAnsi="Arial" w:cs="Arial"/>
                <w:color w:val="000000"/>
                <w:sz w:val="20"/>
                <w:szCs w:val="20"/>
              </w:rPr>
              <w:t xml:space="preserve"> these terms are used appropriately.  It seems to me that we will need a taxonomy for FASAB, FASB, and GASB reports.  The terminology and documentation/descriptions will not be the same.  </w:t>
            </w:r>
          </w:p>
        </w:tc>
      </w:tr>
      <w:tr w:rsidR="005B7602" w:rsidRPr="00812A8E" w14:paraId="77E0FF74" w14:textId="77777777" w:rsidTr="005B7602">
        <w:trPr>
          <w:trHeight w:val="269"/>
        </w:trPr>
        <w:tc>
          <w:tcPr>
            <w:tcW w:w="632" w:type="pct"/>
          </w:tcPr>
          <w:p w14:paraId="710E9F75" w14:textId="77777777" w:rsidR="005B7602" w:rsidRPr="00812A8E" w:rsidRDefault="005B7602" w:rsidP="00FF6B64">
            <w:pPr>
              <w:pStyle w:val="Heading2"/>
              <w:keepNext w:val="0"/>
              <w:rPr>
                <w:rFonts w:ascii="Arial" w:hAnsi="Arial" w:cs="Arial"/>
                <w:b w:val="0"/>
                <w:bCs w:val="0"/>
                <w:sz w:val="20"/>
                <w:szCs w:val="20"/>
              </w:rPr>
            </w:pPr>
          </w:p>
        </w:tc>
        <w:tc>
          <w:tcPr>
            <w:tcW w:w="4368" w:type="pct"/>
            <w:tcBorders>
              <w:bottom w:val="single" w:sz="4" w:space="0" w:color="auto"/>
            </w:tcBorders>
          </w:tcPr>
          <w:p w14:paraId="2D3C2841" w14:textId="77777777" w:rsidR="005B7602" w:rsidRPr="00812A8E" w:rsidRDefault="005B7602" w:rsidP="00FF6B64">
            <w:pPr>
              <w:widowControl w:val="0"/>
              <w:ind w:right="1210" w:firstLine="9"/>
              <w:rPr>
                <w:rFonts w:ascii="Arial" w:hAnsi="Arial" w:cs="Arial"/>
                <w:color w:val="232323"/>
                <w:sz w:val="20"/>
                <w:szCs w:val="20"/>
              </w:rPr>
            </w:pPr>
          </w:p>
        </w:tc>
      </w:tr>
      <w:tr w:rsidR="005B7602" w:rsidRPr="00812A8E" w14:paraId="7B45D7E1" w14:textId="77777777" w:rsidTr="005B7602">
        <w:trPr>
          <w:trHeight w:val="116"/>
        </w:trPr>
        <w:tc>
          <w:tcPr>
            <w:tcW w:w="632" w:type="pct"/>
          </w:tcPr>
          <w:p w14:paraId="0DB50E0A" w14:textId="77777777" w:rsidR="005B7602" w:rsidRPr="00812A8E" w:rsidRDefault="005B7602" w:rsidP="00FF6B64">
            <w:pPr>
              <w:pStyle w:val="Heading2"/>
              <w:keepNext w:val="0"/>
              <w:rPr>
                <w:rFonts w:ascii="Arial" w:hAnsi="Arial" w:cs="Arial"/>
                <w:b w:val="0"/>
                <w:bCs w:val="0"/>
                <w:sz w:val="20"/>
                <w:szCs w:val="20"/>
              </w:rPr>
            </w:pPr>
          </w:p>
        </w:tc>
        <w:tc>
          <w:tcPr>
            <w:tcW w:w="4368" w:type="pct"/>
            <w:tcBorders>
              <w:bottom w:val="single" w:sz="4" w:space="0" w:color="auto"/>
            </w:tcBorders>
          </w:tcPr>
          <w:p w14:paraId="7A952EA2" w14:textId="77777777" w:rsidR="005B7602" w:rsidRPr="00812A8E" w:rsidRDefault="005B7602" w:rsidP="00202B4B">
            <w:pPr>
              <w:rPr>
                <w:rFonts w:ascii="Arial" w:hAnsi="Arial" w:cs="Arial"/>
                <w:sz w:val="20"/>
                <w:szCs w:val="20"/>
              </w:rPr>
            </w:pPr>
            <w:proofErr w:type="gramStart"/>
            <w:r w:rsidRPr="00812A8E">
              <w:rPr>
                <w:rFonts w:ascii="Arial" w:hAnsi="Arial" w:cs="Arial"/>
                <w:sz w:val="20"/>
                <w:szCs w:val="20"/>
              </w:rPr>
              <w:t>It seems as though</w:t>
            </w:r>
            <w:proofErr w:type="gramEnd"/>
            <w:r w:rsidRPr="00812A8E">
              <w:rPr>
                <w:rFonts w:ascii="Arial" w:hAnsi="Arial" w:cs="Arial"/>
                <w:sz w:val="20"/>
                <w:szCs w:val="20"/>
              </w:rPr>
              <w:t xml:space="preserve"> this is a very preliminary beginning to this project, and the data elements will likely grow exponentially as it progresses; is that true? I expected it to be a much larger spreadsheet since US GAAP uses over 15,000 elements.</w:t>
            </w:r>
          </w:p>
          <w:p w14:paraId="33661D67" w14:textId="77777777" w:rsidR="005B7602" w:rsidRPr="00812A8E" w:rsidRDefault="005B7602" w:rsidP="00202B4B">
            <w:pPr>
              <w:rPr>
                <w:rFonts w:ascii="Arial" w:hAnsi="Arial" w:cs="Arial"/>
                <w:sz w:val="20"/>
                <w:szCs w:val="20"/>
              </w:rPr>
            </w:pPr>
          </w:p>
          <w:p w14:paraId="686569B7" w14:textId="77777777" w:rsidR="005B7602" w:rsidRPr="00812A8E" w:rsidRDefault="005B7602" w:rsidP="00202B4B">
            <w:pPr>
              <w:rPr>
                <w:rFonts w:ascii="Arial" w:hAnsi="Arial" w:cs="Arial"/>
                <w:sz w:val="20"/>
                <w:szCs w:val="20"/>
              </w:rPr>
            </w:pPr>
            <w:r w:rsidRPr="00812A8E">
              <w:rPr>
                <w:rFonts w:ascii="Arial" w:hAnsi="Arial" w:cs="Arial"/>
                <w:sz w:val="20"/>
                <w:szCs w:val="20"/>
              </w:rPr>
              <w:t>The number of data elements seems to be so minimal as to make it difficult to critique the actual interrelation between statements, notes, RSI, statistics, etc., that serve to make CAFR documents in a way, at least, more complex than publicly-traded companies’ or financial institutions’ financial statements. I would have expected many thousands of elements, like public companies’ reports. Therefore, my assumptions in responding are that this is just an initial template to determine structure for preparers, submitters, reviews, coders, etc., and not an all-inclusive approach that defines the final structure and total number of elements to be included in the projects’ final structure.</w:t>
            </w:r>
          </w:p>
          <w:p w14:paraId="25AC7C21" w14:textId="77777777" w:rsidR="005B7602" w:rsidRPr="00812A8E" w:rsidRDefault="005B7602" w:rsidP="00202B4B">
            <w:pPr>
              <w:rPr>
                <w:rFonts w:ascii="Arial" w:hAnsi="Arial" w:cs="Arial"/>
                <w:sz w:val="20"/>
                <w:szCs w:val="20"/>
              </w:rPr>
            </w:pPr>
          </w:p>
          <w:p w14:paraId="6A7A9227" w14:textId="29CA4147" w:rsidR="005B7602" w:rsidRPr="00812A8E" w:rsidRDefault="005B7602" w:rsidP="00202B4B">
            <w:pPr>
              <w:rPr>
                <w:rFonts w:ascii="Arial" w:hAnsi="Arial" w:cs="Arial"/>
                <w:sz w:val="20"/>
                <w:szCs w:val="20"/>
              </w:rPr>
            </w:pPr>
            <w:r w:rsidRPr="00812A8E">
              <w:rPr>
                <w:rFonts w:ascii="Arial" w:hAnsi="Arial" w:cs="Arial"/>
                <w:sz w:val="20"/>
                <w:szCs w:val="20"/>
              </w:rPr>
              <w:t>I do think there is a lot of value to the descriptions of from where the authority is derived, section and page numbers of the referenced Standards or publications, to all involved, including auditors. There is value in the efficiency of research and the “how” the report comes together for those preparing, submitting or auditing the CAFR, and for those reading, it removes the mystery behind the “why” something is done so differently than in the financial reports of public companies.</w:t>
            </w:r>
          </w:p>
        </w:tc>
      </w:tr>
      <w:tr w:rsidR="005B7602" w:rsidRPr="00812A8E" w14:paraId="026D6362" w14:textId="77777777" w:rsidTr="005B7602">
        <w:trPr>
          <w:trHeight w:val="116"/>
        </w:trPr>
        <w:tc>
          <w:tcPr>
            <w:tcW w:w="632" w:type="pct"/>
          </w:tcPr>
          <w:p w14:paraId="4177BA4A" w14:textId="77777777" w:rsidR="005B7602" w:rsidRPr="00812A8E" w:rsidRDefault="005B7602" w:rsidP="00FF6B64">
            <w:pPr>
              <w:pStyle w:val="Heading2"/>
              <w:keepNext w:val="0"/>
              <w:rPr>
                <w:rFonts w:ascii="Arial" w:hAnsi="Arial" w:cs="Arial"/>
                <w:b w:val="0"/>
                <w:bCs w:val="0"/>
                <w:sz w:val="20"/>
                <w:szCs w:val="20"/>
              </w:rPr>
            </w:pPr>
          </w:p>
        </w:tc>
        <w:tc>
          <w:tcPr>
            <w:tcW w:w="4368" w:type="pct"/>
            <w:tcBorders>
              <w:bottom w:val="single" w:sz="4" w:space="0" w:color="auto"/>
            </w:tcBorders>
          </w:tcPr>
          <w:p w14:paraId="11FBC2D0" w14:textId="77777777" w:rsidR="005B7602" w:rsidRPr="00812A8E" w:rsidRDefault="005B7602" w:rsidP="00FF6B64">
            <w:pPr>
              <w:pStyle w:val="Default0"/>
              <w:rPr>
                <w:rFonts w:ascii="Arial" w:hAnsi="Arial" w:cs="Arial"/>
                <w:color w:val="auto"/>
                <w:sz w:val="20"/>
                <w:szCs w:val="20"/>
              </w:rPr>
            </w:pPr>
          </w:p>
        </w:tc>
      </w:tr>
      <w:tr w:rsidR="005B7602" w:rsidRPr="00812A8E" w14:paraId="21F175F9" w14:textId="77777777" w:rsidTr="005B7602">
        <w:trPr>
          <w:trHeight w:val="116"/>
        </w:trPr>
        <w:tc>
          <w:tcPr>
            <w:tcW w:w="632" w:type="pct"/>
          </w:tcPr>
          <w:p w14:paraId="0B65E303" w14:textId="3C66E954" w:rsidR="005B7602" w:rsidRPr="00812A8E" w:rsidRDefault="005B7602" w:rsidP="00FF6B64">
            <w:pPr>
              <w:pStyle w:val="Heading2"/>
              <w:keepNext w:val="0"/>
              <w:rPr>
                <w:rFonts w:ascii="Arial" w:hAnsi="Arial" w:cs="Arial"/>
                <w:b w:val="0"/>
                <w:bCs w:val="0"/>
                <w:sz w:val="20"/>
                <w:szCs w:val="20"/>
              </w:rPr>
            </w:pPr>
          </w:p>
        </w:tc>
        <w:tc>
          <w:tcPr>
            <w:tcW w:w="4368" w:type="pct"/>
          </w:tcPr>
          <w:p w14:paraId="15F09ECC" w14:textId="77777777" w:rsidR="005B7602" w:rsidRPr="00812A8E" w:rsidRDefault="005B7602" w:rsidP="00FF6B64">
            <w:pPr>
              <w:pStyle w:val="Default0"/>
              <w:rPr>
                <w:rFonts w:ascii="Arial" w:eastAsiaTheme="minorHAnsi" w:hAnsi="Arial" w:cs="Arial"/>
                <w:color w:val="auto"/>
                <w:sz w:val="20"/>
                <w:szCs w:val="20"/>
              </w:rPr>
            </w:pPr>
            <w:r w:rsidRPr="00812A8E">
              <w:rPr>
                <w:rFonts w:ascii="Arial" w:eastAsiaTheme="minorHAnsi" w:hAnsi="Arial" w:cs="Arial"/>
                <w:color w:val="auto"/>
                <w:sz w:val="20"/>
                <w:szCs w:val="20"/>
              </w:rPr>
              <w:t>We believe the overall goal in developing standards that can improve efficiencies by automating the process of creating, collecting, and analyzing government data should be to develop standards that ultimately enhance consistency and comparability of the data.  For state and local governments to embrace such a substantial change to an open data publication format for financial reporting, such as XBRL, governments and stakeholders must recognize the value added from this change.  We believe this value is standardization of the data that will promote comparability of state and local government financial data.  Accordingly, we recommend that the Group prioritize these important concepts of consistency and comparability when further developing the structure of the data elements in a full production-quality CAFR taxonomy.  Additionally, with the onset of state and local governments moving toward the benefits of blockchain solutions, we believe the Group should align the creation of its data standards with the emerging developments in blockchain technology.</w:t>
            </w:r>
          </w:p>
          <w:p w14:paraId="29408D6C" w14:textId="77777777" w:rsidR="005B7602" w:rsidRPr="00812A8E" w:rsidRDefault="005B7602" w:rsidP="00FF6B64">
            <w:pPr>
              <w:pStyle w:val="Default0"/>
              <w:rPr>
                <w:rFonts w:ascii="Arial" w:eastAsiaTheme="minorHAnsi" w:hAnsi="Arial" w:cs="Arial"/>
                <w:color w:val="auto"/>
                <w:sz w:val="20"/>
                <w:szCs w:val="20"/>
              </w:rPr>
            </w:pPr>
          </w:p>
          <w:p w14:paraId="183C2076" w14:textId="77777777" w:rsidR="005B7602" w:rsidRPr="00812A8E" w:rsidRDefault="005B7602" w:rsidP="00FF6B64">
            <w:pPr>
              <w:pStyle w:val="Default0"/>
              <w:rPr>
                <w:rFonts w:ascii="Arial" w:hAnsi="Arial" w:cs="Arial"/>
                <w:sz w:val="20"/>
                <w:szCs w:val="20"/>
              </w:rPr>
            </w:pPr>
            <w:r w:rsidRPr="00812A8E">
              <w:rPr>
                <w:rFonts w:ascii="Arial" w:eastAsiaTheme="minorHAnsi" w:hAnsi="Arial" w:cs="Arial"/>
                <w:color w:val="auto"/>
                <w:sz w:val="20"/>
                <w:szCs w:val="20"/>
              </w:rPr>
              <w:t xml:space="preserve">When reviewing the demonstration release, we noted some instances in the current structure of the data elements that do not emphasize the idea of comparability and consistency in analyzing government data.  For example, in accordance with reporting standards from the Governmental Accounting Standards Board (GASB), governments may differ in the way they report certain activity, such as federal funds or debt service activity.  A government may choose to report this type of activity in either a special revenue fund or the general fund.  If a government </w:t>
            </w:r>
            <w:r w:rsidRPr="00812A8E">
              <w:rPr>
                <w:rFonts w:ascii="Arial" w:hAnsi="Arial" w:cs="Arial"/>
                <w:sz w:val="20"/>
                <w:szCs w:val="20"/>
              </w:rPr>
              <w:t xml:space="preserve">reports the activity in a special revenue fund, the current taxonomy demonstration would classify the activity under the element of </w:t>
            </w:r>
            <w:proofErr w:type="spellStart"/>
            <w:r w:rsidRPr="00812A8E">
              <w:rPr>
                <w:rFonts w:ascii="Arial" w:hAnsi="Arial" w:cs="Arial"/>
                <w:i/>
                <w:sz w:val="20"/>
                <w:szCs w:val="20"/>
              </w:rPr>
              <w:t>SpecialRevenueFundMember</w:t>
            </w:r>
            <w:proofErr w:type="spellEnd"/>
            <w:r w:rsidRPr="00812A8E">
              <w:rPr>
                <w:rFonts w:ascii="Arial" w:hAnsi="Arial" w:cs="Arial"/>
                <w:sz w:val="20"/>
                <w:szCs w:val="20"/>
              </w:rPr>
              <w:t xml:space="preserve">.  However, if another government reports the same type of federal or debt service activity in its general fund, the current taxonomy demonstration classifies the activity in a different manner using the element of </w:t>
            </w:r>
            <w:proofErr w:type="spellStart"/>
            <w:r w:rsidRPr="00812A8E">
              <w:rPr>
                <w:rFonts w:ascii="Arial" w:hAnsi="Arial" w:cs="Arial"/>
                <w:i/>
                <w:sz w:val="20"/>
                <w:szCs w:val="20"/>
              </w:rPr>
              <w:t>GeneralFundMember</w:t>
            </w:r>
            <w:proofErr w:type="spellEnd"/>
            <w:r w:rsidRPr="00812A8E">
              <w:rPr>
                <w:rFonts w:ascii="Arial" w:hAnsi="Arial" w:cs="Arial"/>
                <w:sz w:val="20"/>
                <w:szCs w:val="20"/>
              </w:rPr>
              <w:t xml:space="preserve">.  Consequently, reporting the same type of CAFR activity under different elements of the taxonomy does not create consistency and does not allow one to easily compare and analyze the data across multiple governments.  </w:t>
            </w:r>
          </w:p>
          <w:p w14:paraId="42599D95" w14:textId="77777777" w:rsidR="005B7602" w:rsidRPr="00812A8E" w:rsidRDefault="005B7602" w:rsidP="00FF6B64">
            <w:pPr>
              <w:pStyle w:val="Default0"/>
              <w:rPr>
                <w:rFonts w:ascii="Arial" w:hAnsi="Arial" w:cs="Arial"/>
                <w:sz w:val="20"/>
                <w:szCs w:val="20"/>
              </w:rPr>
            </w:pPr>
          </w:p>
          <w:p w14:paraId="2C60893D" w14:textId="77777777" w:rsidR="005B7602" w:rsidRPr="00812A8E" w:rsidRDefault="005B7602" w:rsidP="00FF6B64">
            <w:pPr>
              <w:pStyle w:val="Default0"/>
              <w:rPr>
                <w:rFonts w:ascii="Arial" w:hAnsi="Arial" w:cs="Arial"/>
                <w:sz w:val="20"/>
                <w:szCs w:val="20"/>
              </w:rPr>
            </w:pPr>
            <w:r w:rsidRPr="00812A8E">
              <w:rPr>
                <w:rFonts w:ascii="Arial" w:hAnsi="Arial" w:cs="Arial"/>
                <w:sz w:val="20"/>
                <w:szCs w:val="20"/>
              </w:rPr>
              <w:t xml:space="preserve">We believe an effective solution is to create data standards where the elements are created based on a uniform and standardized structure that considers the nature and type of activity not strictly the mechanics of financial reporting.  One example of this is Virginia’s </w:t>
            </w:r>
            <w:hyperlink r:id="rId11" w:history="1">
              <w:r w:rsidRPr="00812A8E">
                <w:rPr>
                  <w:rStyle w:val="Hyperlink"/>
                  <w:rFonts w:ascii="Arial" w:hAnsi="Arial" w:cs="Arial"/>
                  <w:i/>
                  <w:color w:val="4F81BD" w:themeColor="accent1"/>
                  <w:sz w:val="20"/>
                  <w:szCs w:val="20"/>
                </w:rPr>
                <w:t>Comparative Report of Local Government Rev</w:t>
              </w:r>
              <w:r w:rsidRPr="00812A8E">
                <w:rPr>
                  <w:rStyle w:val="Hyperlink"/>
                  <w:rFonts w:ascii="Arial" w:hAnsi="Arial" w:cs="Arial"/>
                  <w:i/>
                  <w:color w:val="4F81BD" w:themeColor="accent1"/>
                  <w:sz w:val="20"/>
                  <w:szCs w:val="20"/>
                </w:rPr>
                <w:t>e</w:t>
              </w:r>
              <w:r w:rsidRPr="00812A8E">
                <w:rPr>
                  <w:rStyle w:val="Hyperlink"/>
                  <w:rFonts w:ascii="Arial" w:hAnsi="Arial" w:cs="Arial"/>
                  <w:i/>
                  <w:color w:val="4F81BD" w:themeColor="accent1"/>
                  <w:sz w:val="20"/>
                  <w:szCs w:val="20"/>
                </w:rPr>
                <w:t>nues and Expenditures</w:t>
              </w:r>
            </w:hyperlink>
            <w:r w:rsidRPr="00812A8E">
              <w:rPr>
                <w:rFonts w:ascii="Arial" w:hAnsi="Arial" w:cs="Arial"/>
                <w:sz w:val="20"/>
                <w:szCs w:val="20"/>
              </w:rPr>
              <w:t xml:space="preserve">; a report that our office publishes annually based on financial data submitted by local governments.  The data published in our Comparative Report is based on a distinct reporting structure and a uniform system of accounts developed by our office.  Accordingly, the GASB reporting structure applied to a local government’s annual financial report is inherently different from how the financial data is presented in our report.  By using a standardized data structure, the Comparative Report presents uniform and comparable financial data about Virginia's localities.  </w:t>
            </w:r>
          </w:p>
          <w:p w14:paraId="072AC5A5" w14:textId="77777777" w:rsidR="005B7602" w:rsidRPr="00812A8E" w:rsidRDefault="005B7602" w:rsidP="00FF6B64">
            <w:pPr>
              <w:pStyle w:val="Default0"/>
              <w:rPr>
                <w:rFonts w:ascii="Arial" w:hAnsi="Arial" w:cs="Arial"/>
                <w:sz w:val="20"/>
                <w:szCs w:val="20"/>
              </w:rPr>
            </w:pPr>
          </w:p>
          <w:p w14:paraId="6A999B8E" w14:textId="659D9C10" w:rsidR="005B7602" w:rsidRPr="00812A8E" w:rsidRDefault="005B7602" w:rsidP="00FF6B64">
            <w:pPr>
              <w:pStyle w:val="Default0"/>
              <w:rPr>
                <w:rFonts w:ascii="Arial" w:eastAsiaTheme="minorHAnsi" w:hAnsi="Arial" w:cs="Arial"/>
                <w:color w:val="auto"/>
                <w:sz w:val="20"/>
                <w:szCs w:val="20"/>
              </w:rPr>
            </w:pPr>
            <w:r w:rsidRPr="00812A8E">
              <w:rPr>
                <w:rFonts w:ascii="Arial" w:eastAsiaTheme="minorHAnsi" w:hAnsi="Arial" w:cs="Arial"/>
                <w:color w:val="auto"/>
                <w:sz w:val="20"/>
                <w:szCs w:val="20"/>
              </w:rPr>
              <w:t xml:space="preserve">Due to limited resources and time constraints, our office did not perform a detailed review of all the definitions and references for the demonstration elements.  However, based on our limited review, we did note several discrepancies and suggest the Group perform a more thorough review to ensure each element includes appropriate definitions and accurate references to the professional standards.  Examples are included in our comments that follow.  </w:t>
            </w:r>
          </w:p>
        </w:tc>
      </w:tr>
      <w:tr w:rsidR="005B7602" w:rsidRPr="00812A8E" w14:paraId="1FE4EA19" w14:textId="77777777" w:rsidTr="005B7602">
        <w:trPr>
          <w:trHeight w:val="116"/>
        </w:trPr>
        <w:tc>
          <w:tcPr>
            <w:tcW w:w="632" w:type="pct"/>
          </w:tcPr>
          <w:p w14:paraId="0E19F03B" w14:textId="77777777" w:rsidR="005B7602" w:rsidRPr="00812A8E" w:rsidRDefault="005B7602" w:rsidP="00FF6B64">
            <w:pPr>
              <w:pStyle w:val="Heading2"/>
              <w:keepNext w:val="0"/>
              <w:rPr>
                <w:rFonts w:ascii="Arial" w:hAnsi="Arial" w:cs="Arial"/>
                <w:b w:val="0"/>
                <w:bCs w:val="0"/>
                <w:sz w:val="20"/>
                <w:szCs w:val="20"/>
              </w:rPr>
            </w:pPr>
          </w:p>
        </w:tc>
        <w:tc>
          <w:tcPr>
            <w:tcW w:w="4368" w:type="pct"/>
          </w:tcPr>
          <w:p w14:paraId="6CB61232" w14:textId="77777777" w:rsidR="005B7602" w:rsidRPr="00812A8E" w:rsidRDefault="005B7602" w:rsidP="00FF6B64">
            <w:pPr>
              <w:pStyle w:val="Default0"/>
              <w:rPr>
                <w:rFonts w:ascii="Arial" w:eastAsiaTheme="minorHAnsi" w:hAnsi="Arial" w:cs="Arial"/>
                <w:color w:val="auto"/>
                <w:sz w:val="20"/>
                <w:szCs w:val="20"/>
              </w:rPr>
            </w:pPr>
          </w:p>
        </w:tc>
      </w:tr>
      <w:tr w:rsidR="005B7602" w:rsidRPr="00812A8E" w14:paraId="68E66491" w14:textId="77777777" w:rsidTr="005B7602">
        <w:trPr>
          <w:trHeight w:val="116"/>
        </w:trPr>
        <w:tc>
          <w:tcPr>
            <w:tcW w:w="632" w:type="pct"/>
          </w:tcPr>
          <w:p w14:paraId="2BF58425" w14:textId="5312058B" w:rsidR="005B7602" w:rsidRPr="00812A8E" w:rsidRDefault="005B7602" w:rsidP="00FF6B64">
            <w:pPr>
              <w:pStyle w:val="Heading2"/>
              <w:keepNext w:val="0"/>
              <w:rPr>
                <w:rFonts w:ascii="Arial" w:hAnsi="Arial" w:cs="Arial"/>
                <w:b w:val="0"/>
                <w:bCs w:val="0"/>
                <w:sz w:val="20"/>
                <w:szCs w:val="20"/>
              </w:rPr>
            </w:pPr>
          </w:p>
        </w:tc>
        <w:tc>
          <w:tcPr>
            <w:tcW w:w="4368" w:type="pct"/>
          </w:tcPr>
          <w:p w14:paraId="3EEC1533" w14:textId="77777777" w:rsidR="005B7602" w:rsidRPr="00812A8E" w:rsidRDefault="005B7602" w:rsidP="00FF6B64">
            <w:pPr>
              <w:rPr>
                <w:rFonts w:ascii="Arial" w:hAnsi="Arial" w:cs="Arial"/>
                <w:sz w:val="20"/>
                <w:szCs w:val="20"/>
              </w:rPr>
            </w:pPr>
            <w:r w:rsidRPr="00812A8E">
              <w:rPr>
                <w:rFonts w:ascii="Arial" w:hAnsi="Arial" w:cs="Arial"/>
                <w:sz w:val="20"/>
                <w:szCs w:val="20"/>
              </w:rPr>
              <w:t>It looks like the group is just getting started with this project, so we have limited comments at this time.  We’re looking forward to following along with the working group’s progress throughout the year and beyond.</w:t>
            </w:r>
          </w:p>
          <w:p w14:paraId="57FC0364" w14:textId="77777777" w:rsidR="005B7602" w:rsidRPr="00812A8E" w:rsidRDefault="005B7602" w:rsidP="00FF6B64">
            <w:pPr>
              <w:rPr>
                <w:rFonts w:ascii="Arial" w:hAnsi="Arial" w:cs="Arial"/>
                <w:sz w:val="20"/>
                <w:szCs w:val="20"/>
              </w:rPr>
            </w:pPr>
          </w:p>
          <w:p w14:paraId="5E84487C" w14:textId="77777777" w:rsidR="005B7602" w:rsidRPr="00812A8E" w:rsidRDefault="005B7602" w:rsidP="00FF6B64">
            <w:pPr>
              <w:rPr>
                <w:rFonts w:ascii="Arial" w:eastAsiaTheme="minorHAnsi" w:hAnsi="Arial" w:cs="Arial"/>
                <w:sz w:val="20"/>
                <w:szCs w:val="20"/>
              </w:rPr>
            </w:pPr>
            <w:r w:rsidRPr="00812A8E">
              <w:rPr>
                <w:rFonts w:ascii="Arial" w:eastAsiaTheme="minorHAnsi" w:hAnsi="Arial" w:cs="Arial"/>
                <w:sz w:val="20"/>
                <w:szCs w:val="20"/>
              </w:rPr>
              <w:t>We believe electronic reporting and technologies like XBRL have the potential to contribute significantly to transparency and accountability in government financial reporting.  As the citizen’s auditor in Washington State, we are in support of efforts such as this one that will improve access and usefulness of audited information to help increase public understanding, trust and engagement with their governments.</w:t>
            </w:r>
          </w:p>
          <w:p w14:paraId="387C226B" w14:textId="77777777" w:rsidR="005B7602" w:rsidRPr="00812A8E" w:rsidRDefault="005B7602" w:rsidP="00FF6B64">
            <w:pPr>
              <w:rPr>
                <w:rFonts w:ascii="Arial" w:eastAsiaTheme="minorHAnsi" w:hAnsi="Arial" w:cs="Arial"/>
                <w:sz w:val="20"/>
                <w:szCs w:val="20"/>
              </w:rPr>
            </w:pPr>
          </w:p>
          <w:p w14:paraId="203EF309" w14:textId="77777777" w:rsidR="005B7602" w:rsidRPr="00812A8E" w:rsidRDefault="005B7602" w:rsidP="00FF6B64">
            <w:pPr>
              <w:rPr>
                <w:rFonts w:ascii="Arial" w:eastAsiaTheme="minorHAnsi" w:hAnsi="Arial" w:cs="Arial"/>
                <w:sz w:val="20"/>
                <w:szCs w:val="20"/>
              </w:rPr>
            </w:pPr>
            <w:r w:rsidRPr="00812A8E">
              <w:rPr>
                <w:rFonts w:ascii="Arial" w:eastAsiaTheme="minorHAnsi" w:hAnsi="Arial" w:cs="Arial"/>
                <w:sz w:val="20"/>
                <w:szCs w:val="20"/>
              </w:rPr>
              <w:t xml:space="preserve">We believe the most significant barrier to a taxonomy is the current GASB reporting model, which is the longest and most complex in the world.  Accordingly, the working group should consider advocating with GASB for simplifications to the reporting model.  In particular, the current model contains multiple statements and levels, all of which are unaligned with each other. Our understanding is that the current </w:t>
            </w:r>
            <w:hyperlink r:id="rId12" w:history="1">
              <w:r w:rsidRPr="00812A8E">
                <w:rPr>
                  <w:rStyle w:val="Hyperlink"/>
                  <w:rFonts w:ascii="Arial" w:hAnsi="Arial" w:cs="Arial"/>
                  <w:sz w:val="20"/>
                  <w:szCs w:val="20"/>
                </w:rPr>
                <w:t>FASB taxonomy</w:t>
              </w:r>
            </w:hyperlink>
            <w:r w:rsidRPr="00812A8E">
              <w:rPr>
                <w:rStyle w:val="Hyperlink"/>
                <w:rFonts w:ascii="Arial" w:hAnsi="Arial" w:cs="Arial"/>
                <w:sz w:val="20"/>
                <w:szCs w:val="20"/>
              </w:rPr>
              <w:t xml:space="preserve"> </w:t>
            </w:r>
            <w:r w:rsidRPr="00812A8E">
              <w:rPr>
                <w:rFonts w:ascii="Arial" w:eastAsiaTheme="minorHAnsi" w:hAnsi="Arial" w:cs="Arial"/>
                <w:sz w:val="20"/>
                <w:szCs w:val="20"/>
              </w:rPr>
              <w:t>is over 19,000 lines.  So, while it is great to see work on a taxonomy, we are expecting that a taxonomy able to fully accommodate a CAFR will exceed this.  We are concerned that the level of complexity in the report model will greatly increase the costs and reduce the potential benefits of XBRL for state and local governments.  Moreover, we are concerned that the complexity of the model – if unaddressed - would continue to undermine the promise of technologies such as XBRL since the financial statement data itself would remain easy to misunderstand.</w:t>
            </w:r>
          </w:p>
          <w:p w14:paraId="20AE0C38" w14:textId="77777777" w:rsidR="005B7602" w:rsidRPr="00812A8E" w:rsidRDefault="005B7602" w:rsidP="00FF6B64">
            <w:pPr>
              <w:rPr>
                <w:rFonts w:ascii="Arial" w:eastAsiaTheme="minorHAnsi" w:hAnsi="Arial" w:cs="Arial"/>
                <w:sz w:val="20"/>
                <w:szCs w:val="20"/>
              </w:rPr>
            </w:pPr>
          </w:p>
          <w:p w14:paraId="45094647" w14:textId="77777777" w:rsidR="005B7602" w:rsidRPr="00812A8E" w:rsidRDefault="005B7602" w:rsidP="00FF6B64">
            <w:pPr>
              <w:rPr>
                <w:rFonts w:ascii="Arial" w:eastAsiaTheme="minorHAnsi" w:hAnsi="Arial" w:cs="Arial"/>
                <w:sz w:val="20"/>
                <w:szCs w:val="20"/>
              </w:rPr>
            </w:pPr>
            <w:r w:rsidRPr="00812A8E">
              <w:rPr>
                <w:rFonts w:ascii="Arial" w:eastAsiaTheme="minorHAnsi" w:hAnsi="Arial" w:cs="Arial"/>
                <w:sz w:val="20"/>
                <w:szCs w:val="20"/>
              </w:rPr>
              <w:t xml:space="preserve">In addition to the unique complexity of the reporting model, we see a </w:t>
            </w:r>
            <w:proofErr w:type="gramStart"/>
            <w:r w:rsidRPr="00812A8E">
              <w:rPr>
                <w:rFonts w:ascii="Arial" w:eastAsiaTheme="minorHAnsi" w:hAnsi="Arial" w:cs="Arial"/>
                <w:sz w:val="20"/>
                <w:szCs w:val="20"/>
              </w:rPr>
              <w:t>particular barrier</w:t>
            </w:r>
            <w:proofErr w:type="gramEnd"/>
            <w:r w:rsidRPr="00812A8E">
              <w:rPr>
                <w:rFonts w:ascii="Arial" w:eastAsiaTheme="minorHAnsi" w:hAnsi="Arial" w:cs="Arial"/>
                <w:sz w:val="20"/>
                <w:szCs w:val="20"/>
              </w:rPr>
              <w:t xml:space="preserve"> in that a number of key elements of the reporting model will be unique to each entity.  For example, proprietary and component unit functions on the government-wide statement of activities, component unit names, and fund names in the fund level statements.  While we do not doubt that XBRL can be structured to accommodate these elements, we are unsure how it will be able to achieve more than an incremental benefit in comparability of data.</w:t>
            </w:r>
          </w:p>
          <w:p w14:paraId="356E0052" w14:textId="77777777" w:rsidR="005B7602" w:rsidRPr="00812A8E" w:rsidRDefault="005B7602" w:rsidP="00FF6B64">
            <w:pPr>
              <w:rPr>
                <w:rFonts w:ascii="Arial" w:eastAsiaTheme="minorHAnsi" w:hAnsi="Arial" w:cs="Arial"/>
                <w:sz w:val="20"/>
                <w:szCs w:val="20"/>
              </w:rPr>
            </w:pPr>
          </w:p>
          <w:p w14:paraId="6B81AD68" w14:textId="17D7B99E" w:rsidR="005B7602" w:rsidRPr="00812A8E" w:rsidRDefault="005B7602" w:rsidP="00FF6B64">
            <w:pPr>
              <w:rPr>
                <w:rFonts w:ascii="Arial" w:hAnsi="Arial" w:cs="Arial"/>
                <w:sz w:val="20"/>
                <w:szCs w:val="20"/>
              </w:rPr>
            </w:pPr>
            <w:r w:rsidRPr="00812A8E">
              <w:rPr>
                <w:rFonts w:ascii="Arial" w:hAnsi="Arial" w:cs="Arial"/>
                <w:color w:val="000000"/>
                <w:sz w:val="20"/>
                <w:szCs w:val="20"/>
              </w:rPr>
              <w:t xml:space="preserve">One of the statutory duties of our Office is to prescribe accounting for local governments in Washington.  If it would be of assistance to the Working Group, we are available to answer questions on our chart of accounts, which is available on our website here:  </w:t>
            </w:r>
            <w:hyperlink r:id="rId13" w:history="1">
              <w:r w:rsidRPr="00812A8E">
                <w:rPr>
                  <w:rStyle w:val="Hyperlink"/>
                  <w:rFonts w:ascii="Arial" w:hAnsi="Arial" w:cs="Arial"/>
                  <w:spacing w:val="6"/>
                  <w:sz w:val="20"/>
                  <w:szCs w:val="20"/>
                </w:rPr>
                <w:t>www.sao.wa.gov/bars_gaap/charts-of-acc</w:t>
              </w:r>
              <w:r w:rsidRPr="00812A8E">
                <w:rPr>
                  <w:rStyle w:val="Hyperlink"/>
                  <w:rFonts w:ascii="Arial" w:hAnsi="Arial" w:cs="Arial"/>
                  <w:spacing w:val="6"/>
                  <w:sz w:val="20"/>
                  <w:szCs w:val="20"/>
                </w:rPr>
                <w:t>o</w:t>
              </w:r>
              <w:r w:rsidRPr="00812A8E">
                <w:rPr>
                  <w:rStyle w:val="Hyperlink"/>
                  <w:rFonts w:ascii="Arial" w:hAnsi="Arial" w:cs="Arial"/>
                  <w:spacing w:val="6"/>
                  <w:sz w:val="20"/>
                  <w:szCs w:val="20"/>
                </w:rPr>
                <w:t>unts/bars-account-export-2/bars-account-export/</w:t>
              </w:r>
            </w:hyperlink>
            <w:r w:rsidRPr="00812A8E">
              <w:rPr>
                <w:rFonts w:ascii="Arial" w:hAnsi="Arial" w:cs="Arial"/>
                <w:color w:val="000000"/>
                <w:spacing w:val="6"/>
                <w:sz w:val="20"/>
                <w:szCs w:val="20"/>
              </w:rPr>
              <w:t xml:space="preserve">.  </w:t>
            </w:r>
            <w:r w:rsidRPr="00812A8E">
              <w:rPr>
                <w:rFonts w:ascii="Arial" w:hAnsi="Arial" w:cs="Arial"/>
                <w:color w:val="000000"/>
                <w:sz w:val="20"/>
                <w:szCs w:val="20"/>
              </w:rPr>
              <w:t>However, while the GASB requires reporting for the same governmental fund activity using multiple basis of accounting, accounts can only be feasibly maintained on one basis.  Therefore, our chart of accounts is on the fund level and does not include accounts for government-wide statements.</w:t>
            </w:r>
          </w:p>
        </w:tc>
      </w:tr>
      <w:tr w:rsidR="005B7602" w:rsidRPr="00812A8E" w14:paraId="3DACB4DD" w14:textId="77777777" w:rsidTr="005B7602">
        <w:trPr>
          <w:trHeight w:val="116"/>
        </w:trPr>
        <w:tc>
          <w:tcPr>
            <w:tcW w:w="632" w:type="pct"/>
          </w:tcPr>
          <w:p w14:paraId="767145CD" w14:textId="77777777" w:rsidR="005B7602" w:rsidRPr="00812A8E" w:rsidRDefault="005B7602" w:rsidP="00FF6B64">
            <w:pPr>
              <w:pStyle w:val="Heading2"/>
              <w:keepNext w:val="0"/>
              <w:rPr>
                <w:rFonts w:ascii="Arial" w:hAnsi="Arial" w:cs="Arial"/>
                <w:b w:val="0"/>
                <w:bCs w:val="0"/>
                <w:sz w:val="20"/>
                <w:szCs w:val="20"/>
              </w:rPr>
            </w:pPr>
          </w:p>
        </w:tc>
        <w:tc>
          <w:tcPr>
            <w:tcW w:w="4368" w:type="pct"/>
          </w:tcPr>
          <w:p w14:paraId="1272156D" w14:textId="77777777" w:rsidR="005B7602" w:rsidRPr="00812A8E" w:rsidRDefault="005B7602" w:rsidP="00FF6B64">
            <w:pPr>
              <w:pStyle w:val="Default0"/>
              <w:rPr>
                <w:rFonts w:ascii="Arial" w:eastAsiaTheme="minorHAnsi" w:hAnsi="Arial" w:cs="Arial"/>
                <w:color w:val="auto"/>
                <w:sz w:val="20"/>
                <w:szCs w:val="20"/>
              </w:rPr>
            </w:pPr>
          </w:p>
        </w:tc>
      </w:tr>
      <w:tr w:rsidR="005B7602" w:rsidRPr="00812A8E" w14:paraId="66EB6975" w14:textId="77777777" w:rsidTr="005B7602">
        <w:trPr>
          <w:trHeight w:val="116"/>
        </w:trPr>
        <w:tc>
          <w:tcPr>
            <w:tcW w:w="5000" w:type="pct"/>
            <w:gridSpan w:val="2"/>
          </w:tcPr>
          <w:p w14:paraId="6C6B2EB3" w14:textId="42715695" w:rsidR="005B7602" w:rsidRPr="005B7602" w:rsidRDefault="005B7602" w:rsidP="00FF6B64">
            <w:pPr>
              <w:pStyle w:val="Default0"/>
              <w:rPr>
                <w:rFonts w:ascii="Arial" w:eastAsiaTheme="minorHAnsi" w:hAnsi="Arial" w:cs="Arial"/>
                <w:b/>
                <w:color w:val="auto"/>
                <w:sz w:val="20"/>
                <w:szCs w:val="20"/>
              </w:rPr>
            </w:pPr>
            <w:r w:rsidRPr="005B7602">
              <w:rPr>
                <w:rFonts w:ascii="Arial" w:eastAsiaTheme="minorHAnsi" w:hAnsi="Arial" w:cs="Arial"/>
                <w:b/>
                <w:color w:val="auto"/>
                <w:sz w:val="20"/>
                <w:szCs w:val="20"/>
              </w:rPr>
              <w:t>Specific</w:t>
            </w:r>
            <w:r>
              <w:rPr>
                <w:rFonts w:ascii="Arial" w:eastAsiaTheme="minorHAnsi" w:hAnsi="Arial" w:cs="Arial"/>
                <w:b/>
                <w:color w:val="auto"/>
                <w:sz w:val="20"/>
                <w:szCs w:val="20"/>
              </w:rPr>
              <w:t xml:space="preserve"> Comments</w:t>
            </w:r>
          </w:p>
        </w:tc>
      </w:tr>
      <w:tr w:rsidR="005B7602" w:rsidRPr="00812A8E" w14:paraId="37DDAB81" w14:textId="77777777" w:rsidTr="005B7602">
        <w:trPr>
          <w:trHeight w:val="116"/>
        </w:trPr>
        <w:tc>
          <w:tcPr>
            <w:tcW w:w="632" w:type="pct"/>
          </w:tcPr>
          <w:p w14:paraId="544BC299" w14:textId="28D57892" w:rsidR="005B7602" w:rsidRPr="005B7602" w:rsidRDefault="005B7602" w:rsidP="00FF6B64">
            <w:pPr>
              <w:pStyle w:val="Heading2"/>
              <w:keepNext w:val="0"/>
              <w:rPr>
                <w:rFonts w:ascii="Arial" w:hAnsi="Arial" w:cs="Arial"/>
                <w:b w:val="0"/>
                <w:bCs w:val="0"/>
                <w:sz w:val="20"/>
                <w:szCs w:val="20"/>
              </w:rPr>
            </w:pPr>
            <w:r w:rsidRPr="005B7602">
              <w:rPr>
                <w:rFonts w:ascii="Arial" w:hAnsi="Arial" w:cs="Arial"/>
                <w:b w:val="0"/>
                <w:bCs w:val="0"/>
                <w:sz w:val="20"/>
                <w:szCs w:val="20"/>
              </w:rPr>
              <w:t>Concept #</w:t>
            </w:r>
          </w:p>
        </w:tc>
        <w:tc>
          <w:tcPr>
            <w:tcW w:w="4368" w:type="pct"/>
          </w:tcPr>
          <w:p w14:paraId="210E2CE9" w14:textId="77777777" w:rsidR="005B7602" w:rsidRPr="00812A8E" w:rsidRDefault="005B7602" w:rsidP="00FF6B64">
            <w:pPr>
              <w:pStyle w:val="Default0"/>
              <w:rPr>
                <w:rFonts w:ascii="Arial" w:eastAsiaTheme="minorHAnsi" w:hAnsi="Arial" w:cs="Arial"/>
                <w:color w:val="auto"/>
                <w:sz w:val="20"/>
                <w:szCs w:val="20"/>
              </w:rPr>
            </w:pPr>
          </w:p>
        </w:tc>
      </w:tr>
      <w:tr w:rsidR="005B7602" w:rsidRPr="00812A8E" w14:paraId="2264C89E" w14:textId="77777777" w:rsidTr="005B7602">
        <w:trPr>
          <w:trHeight w:val="116"/>
        </w:trPr>
        <w:tc>
          <w:tcPr>
            <w:tcW w:w="632" w:type="pct"/>
          </w:tcPr>
          <w:p w14:paraId="4E094AEE" w14:textId="77777777" w:rsidR="005B7602" w:rsidRPr="00812A8E" w:rsidRDefault="005B7602" w:rsidP="00FF6B64">
            <w:pPr>
              <w:pStyle w:val="Heading2"/>
              <w:keepNext w:val="0"/>
              <w:rPr>
                <w:rFonts w:ascii="Arial" w:hAnsi="Arial" w:cs="Arial"/>
                <w:b w:val="0"/>
                <w:bCs w:val="0"/>
                <w:sz w:val="20"/>
                <w:szCs w:val="20"/>
              </w:rPr>
            </w:pPr>
          </w:p>
        </w:tc>
        <w:tc>
          <w:tcPr>
            <w:tcW w:w="4368" w:type="pct"/>
          </w:tcPr>
          <w:p w14:paraId="069F2540" w14:textId="1FD05EF6" w:rsidR="005B7602" w:rsidRPr="00812A8E" w:rsidRDefault="005B7602" w:rsidP="00FF6B64">
            <w:pPr>
              <w:autoSpaceDE w:val="0"/>
              <w:autoSpaceDN w:val="0"/>
              <w:adjustRightInd w:val="0"/>
              <w:jc w:val="both"/>
              <w:rPr>
                <w:rFonts w:ascii="Arial" w:hAnsi="Arial" w:cs="Arial"/>
                <w:color w:val="000000"/>
                <w:sz w:val="20"/>
                <w:szCs w:val="20"/>
              </w:rPr>
            </w:pPr>
          </w:p>
        </w:tc>
      </w:tr>
      <w:tr w:rsidR="005B7602" w:rsidRPr="00812A8E" w14:paraId="6EDCE36D" w14:textId="77777777" w:rsidTr="005B7602">
        <w:trPr>
          <w:trHeight w:val="116"/>
        </w:trPr>
        <w:tc>
          <w:tcPr>
            <w:tcW w:w="632" w:type="pct"/>
          </w:tcPr>
          <w:p w14:paraId="40BE6326" w14:textId="4B2BE995" w:rsidR="005B7602" w:rsidRPr="00812A8E" w:rsidRDefault="005B7602" w:rsidP="00FF6B64">
            <w:pPr>
              <w:pStyle w:val="Heading2"/>
              <w:keepNext w:val="0"/>
              <w:rPr>
                <w:rFonts w:ascii="Arial" w:hAnsi="Arial" w:cs="Arial"/>
                <w:b w:val="0"/>
                <w:bCs w:val="0"/>
                <w:sz w:val="20"/>
                <w:szCs w:val="20"/>
              </w:rPr>
            </w:pPr>
            <w:r w:rsidRPr="00812A8E">
              <w:rPr>
                <w:rFonts w:ascii="Arial" w:hAnsi="Arial" w:cs="Arial"/>
                <w:b w:val="0"/>
                <w:bCs w:val="0"/>
                <w:sz w:val="20"/>
                <w:szCs w:val="20"/>
              </w:rPr>
              <w:t xml:space="preserve">3 </w:t>
            </w:r>
          </w:p>
        </w:tc>
        <w:tc>
          <w:tcPr>
            <w:tcW w:w="4368" w:type="pct"/>
          </w:tcPr>
          <w:p w14:paraId="0E28DD14" w14:textId="77777777" w:rsidR="005B7602" w:rsidRPr="00812A8E" w:rsidRDefault="005B7602" w:rsidP="00FA190A">
            <w:pPr>
              <w:autoSpaceDE w:val="0"/>
              <w:autoSpaceDN w:val="0"/>
              <w:adjustRightInd w:val="0"/>
              <w:rPr>
                <w:rFonts w:ascii="Arial" w:hAnsi="Arial" w:cs="Arial"/>
                <w:color w:val="000000"/>
                <w:sz w:val="20"/>
                <w:szCs w:val="20"/>
              </w:rPr>
            </w:pPr>
            <w:r w:rsidRPr="00812A8E">
              <w:rPr>
                <w:rFonts w:ascii="Arial" w:hAnsi="Arial" w:cs="Arial"/>
                <w:color w:val="000000"/>
                <w:sz w:val="20"/>
                <w:szCs w:val="20"/>
              </w:rPr>
              <w:t>Suggest adding the following in column D, Documentation:</w:t>
            </w:r>
          </w:p>
          <w:p w14:paraId="716D6F59" w14:textId="77777777" w:rsidR="005B7602" w:rsidRPr="00812A8E" w:rsidRDefault="005B7602" w:rsidP="00FA190A">
            <w:pPr>
              <w:autoSpaceDE w:val="0"/>
              <w:autoSpaceDN w:val="0"/>
              <w:adjustRightInd w:val="0"/>
              <w:rPr>
                <w:rFonts w:ascii="Arial" w:hAnsi="Arial" w:cs="Arial"/>
                <w:color w:val="000000"/>
                <w:sz w:val="20"/>
                <w:szCs w:val="20"/>
              </w:rPr>
            </w:pPr>
          </w:p>
          <w:p w14:paraId="15A8A293" w14:textId="77777777" w:rsidR="005B7602" w:rsidRPr="00812A8E" w:rsidRDefault="005B7602" w:rsidP="00FA190A">
            <w:pPr>
              <w:autoSpaceDE w:val="0"/>
              <w:autoSpaceDN w:val="0"/>
              <w:adjustRightInd w:val="0"/>
              <w:rPr>
                <w:rFonts w:ascii="Arial" w:hAnsi="Arial" w:cs="Arial"/>
                <w:color w:val="000000"/>
                <w:sz w:val="20"/>
                <w:szCs w:val="20"/>
              </w:rPr>
            </w:pPr>
            <w:r w:rsidRPr="00812A8E">
              <w:rPr>
                <w:rFonts w:ascii="Arial" w:hAnsi="Arial" w:cs="Arial"/>
                <w:color w:val="000000"/>
                <w:sz w:val="20"/>
                <w:szCs w:val="20"/>
              </w:rPr>
              <w:t xml:space="preserve">Party to transaction that an informed observer might reasonably believe reflects considerations other than economic </w:t>
            </w:r>
            <w:proofErr w:type="spellStart"/>
            <w:r w:rsidRPr="00812A8E">
              <w:rPr>
                <w:rFonts w:ascii="Arial" w:hAnsi="Arial" w:cs="Arial"/>
                <w:color w:val="000000"/>
                <w:sz w:val="20"/>
                <w:szCs w:val="20"/>
              </w:rPr>
              <w:t>self interest</w:t>
            </w:r>
            <w:proofErr w:type="spellEnd"/>
            <w:r w:rsidRPr="00812A8E">
              <w:rPr>
                <w:rFonts w:ascii="Arial" w:hAnsi="Arial" w:cs="Arial"/>
                <w:color w:val="000000"/>
                <w:sz w:val="20"/>
                <w:szCs w:val="20"/>
              </w:rPr>
              <w:t xml:space="preserve"> based upon the relationship that exists between the parties to the transaction.  The term often is used in contrast to an arm's length transaction.</w:t>
            </w:r>
          </w:p>
          <w:p w14:paraId="7F3258D8" w14:textId="77777777" w:rsidR="005B7602" w:rsidRPr="00812A8E" w:rsidRDefault="005B7602" w:rsidP="00FA190A">
            <w:pPr>
              <w:autoSpaceDE w:val="0"/>
              <w:autoSpaceDN w:val="0"/>
              <w:adjustRightInd w:val="0"/>
              <w:rPr>
                <w:rFonts w:ascii="Arial" w:hAnsi="Arial" w:cs="Arial"/>
                <w:color w:val="000000"/>
                <w:sz w:val="20"/>
                <w:szCs w:val="20"/>
              </w:rPr>
            </w:pPr>
          </w:p>
          <w:p w14:paraId="22CB9473" w14:textId="77777777" w:rsidR="005B7602" w:rsidRPr="00812A8E" w:rsidRDefault="005B7602" w:rsidP="00FA190A">
            <w:pPr>
              <w:autoSpaceDE w:val="0"/>
              <w:autoSpaceDN w:val="0"/>
              <w:adjustRightInd w:val="0"/>
              <w:rPr>
                <w:rFonts w:ascii="Arial" w:hAnsi="Arial" w:cs="Arial"/>
                <w:color w:val="000000"/>
                <w:sz w:val="20"/>
                <w:szCs w:val="20"/>
              </w:rPr>
            </w:pPr>
            <w:r w:rsidRPr="00812A8E">
              <w:rPr>
                <w:rFonts w:ascii="Arial" w:hAnsi="Arial" w:cs="Arial"/>
                <w:color w:val="000000"/>
                <w:sz w:val="20"/>
                <w:szCs w:val="20"/>
              </w:rPr>
              <w:t>Suggest adding reference:</w:t>
            </w:r>
          </w:p>
          <w:p w14:paraId="5F964C04" w14:textId="77777777" w:rsidR="005B7602" w:rsidRPr="00812A8E" w:rsidRDefault="005B7602" w:rsidP="00FA190A">
            <w:pPr>
              <w:autoSpaceDE w:val="0"/>
              <w:autoSpaceDN w:val="0"/>
              <w:adjustRightInd w:val="0"/>
              <w:rPr>
                <w:rFonts w:ascii="Arial" w:hAnsi="Arial" w:cs="Arial"/>
                <w:color w:val="000000"/>
                <w:sz w:val="20"/>
                <w:szCs w:val="20"/>
              </w:rPr>
            </w:pPr>
          </w:p>
          <w:p w14:paraId="759EDBD4" w14:textId="75B5EEC7" w:rsidR="005B7602" w:rsidRPr="00812A8E" w:rsidRDefault="005B7602" w:rsidP="00FA190A">
            <w:pPr>
              <w:autoSpaceDE w:val="0"/>
              <w:autoSpaceDN w:val="0"/>
              <w:adjustRightInd w:val="0"/>
              <w:rPr>
                <w:rFonts w:ascii="Arial" w:hAnsi="Arial" w:cs="Arial"/>
                <w:color w:val="000000"/>
                <w:sz w:val="20"/>
                <w:szCs w:val="20"/>
              </w:rPr>
            </w:pPr>
            <w:r w:rsidRPr="00812A8E">
              <w:rPr>
                <w:rFonts w:ascii="Arial" w:hAnsi="Arial" w:cs="Arial"/>
                <w:color w:val="000000"/>
                <w:sz w:val="20"/>
                <w:szCs w:val="20"/>
              </w:rPr>
              <w:t>Stephen J. Gauthier, Governmental Accounting, Auditing, and Financial Reporting, GFOA, 2014.</w:t>
            </w:r>
          </w:p>
          <w:p w14:paraId="7486B50F" w14:textId="3344E946" w:rsidR="005B7602" w:rsidRPr="00812A8E" w:rsidRDefault="005B7602" w:rsidP="00FA190A">
            <w:pPr>
              <w:autoSpaceDE w:val="0"/>
              <w:autoSpaceDN w:val="0"/>
              <w:adjustRightInd w:val="0"/>
              <w:rPr>
                <w:rFonts w:ascii="Arial" w:hAnsi="Arial" w:cs="Arial"/>
                <w:color w:val="000000"/>
                <w:sz w:val="20"/>
                <w:szCs w:val="20"/>
              </w:rPr>
            </w:pPr>
            <w:r w:rsidRPr="00812A8E">
              <w:rPr>
                <w:rFonts w:ascii="Arial" w:hAnsi="Arial" w:cs="Arial"/>
                <w:color w:val="000000"/>
                <w:sz w:val="20"/>
                <w:szCs w:val="20"/>
              </w:rPr>
              <w:t>Appendix G</w:t>
            </w:r>
          </w:p>
        </w:tc>
      </w:tr>
      <w:tr w:rsidR="005B7602" w:rsidRPr="00812A8E" w14:paraId="033B4EFF" w14:textId="77777777" w:rsidTr="005B7602">
        <w:trPr>
          <w:trHeight w:val="116"/>
        </w:trPr>
        <w:tc>
          <w:tcPr>
            <w:tcW w:w="632" w:type="pct"/>
          </w:tcPr>
          <w:p w14:paraId="13562A9C" w14:textId="77777777" w:rsidR="005B7602" w:rsidRPr="00812A8E" w:rsidRDefault="005B7602" w:rsidP="00FF6B64">
            <w:pPr>
              <w:pStyle w:val="Heading2"/>
              <w:keepNext w:val="0"/>
              <w:rPr>
                <w:rFonts w:ascii="Arial" w:hAnsi="Arial" w:cs="Arial"/>
                <w:b w:val="0"/>
                <w:bCs w:val="0"/>
                <w:sz w:val="20"/>
                <w:szCs w:val="20"/>
              </w:rPr>
            </w:pPr>
          </w:p>
        </w:tc>
        <w:tc>
          <w:tcPr>
            <w:tcW w:w="4368" w:type="pct"/>
          </w:tcPr>
          <w:p w14:paraId="74307D14" w14:textId="77777777" w:rsidR="005B7602" w:rsidRPr="00812A8E" w:rsidRDefault="005B7602" w:rsidP="00FA190A">
            <w:pPr>
              <w:autoSpaceDE w:val="0"/>
              <w:autoSpaceDN w:val="0"/>
              <w:adjustRightInd w:val="0"/>
              <w:rPr>
                <w:rFonts w:ascii="Arial" w:hAnsi="Arial" w:cs="Arial"/>
                <w:color w:val="000000"/>
                <w:sz w:val="20"/>
                <w:szCs w:val="20"/>
              </w:rPr>
            </w:pPr>
          </w:p>
        </w:tc>
      </w:tr>
      <w:tr w:rsidR="005B7602" w:rsidRPr="00812A8E" w14:paraId="7B15E8F9" w14:textId="77777777" w:rsidTr="005B7602">
        <w:trPr>
          <w:trHeight w:val="116"/>
        </w:trPr>
        <w:tc>
          <w:tcPr>
            <w:tcW w:w="632" w:type="pct"/>
          </w:tcPr>
          <w:p w14:paraId="25CF7DD6" w14:textId="0FA06825" w:rsidR="005B7602" w:rsidRPr="00812A8E" w:rsidRDefault="005B7602" w:rsidP="00FF6B64">
            <w:pPr>
              <w:pStyle w:val="Heading2"/>
              <w:keepNext w:val="0"/>
              <w:rPr>
                <w:rFonts w:ascii="Arial" w:hAnsi="Arial" w:cs="Arial"/>
                <w:b w:val="0"/>
                <w:bCs w:val="0"/>
                <w:sz w:val="20"/>
                <w:szCs w:val="20"/>
              </w:rPr>
            </w:pPr>
            <w:r w:rsidRPr="00812A8E">
              <w:rPr>
                <w:rFonts w:ascii="Arial" w:hAnsi="Arial" w:cs="Arial"/>
                <w:b w:val="0"/>
                <w:bCs w:val="0"/>
                <w:sz w:val="20"/>
                <w:szCs w:val="20"/>
              </w:rPr>
              <w:t>10</w:t>
            </w:r>
          </w:p>
        </w:tc>
        <w:tc>
          <w:tcPr>
            <w:tcW w:w="4368" w:type="pct"/>
          </w:tcPr>
          <w:p w14:paraId="4407D227" w14:textId="43F629D7" w:rsidR="005B7602" w:rsidRPr="00812A8E" w:rsidRDefault="005B7602" w:rsidP="00FA190A">
            <w:pPr>
              <w:autoSpaceDE w:val="0"/>
              <w:autoSpaceDN w:val="0"/>
              <w:adjustRightInd w:val="0"/>
              <w:rPr>
                <w:rFonts w:ascii="Arial" w:hAnsi="Arial" w:cs="Arial"/>
                <w:color w:val="000000"/>
                <w:sz w:val="20"/>
                <w:szCs w:val="20"/>
              </w:rPr>
            </w:pPr>
            <w:r w:rsidRPr="00812A8E">
              <w:rPr>
                <w:rFonts w:ascii="Arial" w:hAnsi="Arial" w:cs="Arial"/>
                <w:color w:val="000000"/>
                <w:sz w:val="20"/>
                <w:szCs w:val="20"/>
              </w:rPr>
              <w:t>Audits generally have multiple opinion units, where one opinion might cover the scope of one or more opinion units. The remaining opinion units may have a different opinion. For instance, it is not uncommon to issue an adverse opinion over business type activities and in the same report issue an unmodified opinion over everything else. Consideration should be given to expanding this concept or adding other concepts to account for this.</w:t>
            </w:r>
          </w:p>
        </w:tc>
      </w:tr>
      <w:tr w:rsidR="005B7602" w:rsidRPr="00812A8E" w14:paraId="1E3DD426" w14:textId="77777777" w:rsidTr="005B7602">
        <w:trPr>
          <w:trHeight w:val="116"/>
        </w:trPr>
        <w:tc>
          <w:tcPr>
            <w:tcW w:w="632" w:type="pct"/>
          </w:tcPr>
          <w:p w14:paraId="15A9865A" w14:textId="77777777" w:rsidR="005B7602" w:rsidRPr="00812A8E" w:rsidRDefault="005B7602" w:rsidP="00FF6B64">
            <w:pPr>
              <w:pStyle w:val="Heading2"/>
              <w:keepNext w:val="0"/>
              <w:rPr>
                <w:rFonts w:ascii="Arial" w:hAnsi="Arial" w:cs="Arial"/>
                <w:b w:val="0"/>
                <w:bCs w:val="0"/>
                <w:sz w:val="20"/>
                <w:szCs w:val="20"/>
              </w:rPr>
            </w:pPr>
          </w:p>
        </w:tc>
        <w:tc>
          <w:tcPr>
            <w:tcW w:w="4368" w:type="pct"/>
          </w:tcPr>
          <w:p w14:paraId="7C853B38" w14:textId="77777777" w:rsidR="005B7602" w:rsidRPr="00812A8E" w:rsidRDefault="005B7602" w:rsidP="00FF6B64">
            <w:pPr>
              <w:autoSpaceDE w:val="0"/>
              <w:autoSpaceDN w:val="0"/>
              <w:adjustRightInd w:val="0"/>
              <w:jc w:val="both"/>
              <w:rPr>
                <w:rFonts w:ascii="Arial" w:hAnsi="Arial" w:cs="Arial"/>
                <w:color w:val="000000"/>
                <w:sz w:val="20"/>
                <w:szCs w:val="20"/>
              </w:rPr>
            </w:pPr>
          </w:p>
        </w:tc>
      </w:tr>
      <w:tr w:rsidR="005B7602" w:rsidRPr="00812A8E" w14:paraId="1F7B549D" w14:textId="77777777" w:rsidTr="005B7602">
        <w:trPr>
          <w:trHeight w:val="116"/>
        </w:trPr>
        <w:tc>
          <w:tcPr>
            <w:tcW w:w="632" w:type="pct"/>
          </w:tcPr>
          <w:p w14:paraId="6171E57C" w14:textId="4DD49EAD" w:rsidR="005B7602" w:rsidRPr="00812A8E" w:rsidRDefault="005B7602" w:rsidP="00FF6B64">
            <w:pPr>
              <w:pStyle w:val="Heading2"/>
              <w:keepNext w:val="0"/>
              <w:rPr>
                <w:rFonts w:ascii="Arial" w:hAnsi="Arial" w:cs="Arial"/>
                <w:b w:val="0"/>
                <w:bCs w:val="0"/>
                <w:sz w:val="20"/>
                <w:szCs w:val="20"/>
              </w:rPr>
            </w:pPr>
            <w:r w:rsidRPr="00812A8E">
              <w:rPr>
                <w:rFonts w:ascii="Arial" w:hAnsi="Arial" w:cs="Arial"/>
                <w:b w:val="0"/>
                <w:bCs w:val="0"/>
                <w:sz w:val="20"/>
                <w:szCs w:val="20"/>
              </w:rPr>
              <w:t>14</w:t>
            </w:r>
          </w:p>
        </w:tc>
        <w:tc>
          <w:tcPr>
            <w:tcW w:w="4368" w:type="pct"/>
          </w:tcPr>
          <w:p w14:paraId="6F3A9D67" w14:textId="77777777" w:rsidR="005B7602" w:rsidRPr="00812A8E" w:rsidRDefault="005B7602" w:rsidP="00FA190A">
            <w:pPr>
              <w:autoSpaceDE w:val="0"/>
              <w:autoSpaceDN w:val="0"/>
              <w:adjustRightInd w:val="0"/>
              <w:jc w:val="both"/>
              <w:rPr>
                <w:rFonts w:ascii="Arial" w:hAnsi="Arial" w:cs="Arial"/>
                <w:color w:val="000000"/>
                <w:sz w:val="20"/>
                <w:szCs w:val="20"/>
              </w:rPr>
            </w:pPr>
            <w:r w:rsidRPr="00812A8E">
              <w:rPr>
                <w:rFonts w:ascii="Arial" w:hAnsi="Arial" w:cs="Arial"/>
                <w:color w:val="000000"/>
                <w:sz w:val="20"/>
                <w:szCs w:val="20"/>
              </w:rPr>
              <w:t>Suggest adding the following in column D, Documentation:</w:t>
            </w:r>
          </w:p>
          <w:p w14:paraId="2A3ECF74" w14:textId="77777777" w:rsidR="005B7602" w:rsidRPr="00812A8E" w:rsidRDefault="005B7602" w:rsidP="00FA190A">
            <w:pPr>
              <w:autoSpaceDE w:val="0"/>
              <w:autoSpaceDN w:val="0"/>
              <w:adjustRightInd w:val="0"/>
              <w:jc w:val="both"/>
              <w:rPr>
                <w:rFonts w:ascii="Arial" w:hAnsi="Arial" w:cs="Arial"/>
                <w:color w:val="000000"/>
                <w:sz w:val="20"/>
                <w:szCs w:val="20"/>
              </w:rPr>
            </w:pPr>
          </w:p>
          <w:p w14:paraId="36B577DF" w14:textId="7D39B76D" w:rsidR="005B7602" w:rsidRPr="00812A8E" w:rsidRDefault="005B7602" w:rsidP="00FA190A">
            <w:pPr>
              <w:autoSpaceDE w:val="0"/>
              <w:autoSpaceDN w:val="0"/>
              <w:adjustRightInd w:val="0"/>
              <w:jc w:val="both"/>
              <w:rPr>
                <w:rFonts w:ascii="Arial" w:hAnsi="Arial" w:cs="Arial"/>
                <w:color w:val="000000"/>
                <w:sz w:val="20"/>
                <w:szCs w:val="20"/>
              </w:rPr>
            </w:pPr>
            <w:r w:rsidRPr="00812A8E">
              <w:rPr>
                <w:rFonts w:ascii="Arial" w:hAnsi="Arial" w:cs="Arial"/>
                <w:color w:val="000000"/>
                <w:sz w:val="20"/>
                <w:szCs w:val="20"/>
              </w:rPr>
              <w:t>Timing of recognition for financial reporting purposes (when the effects of transactions or events should be recognized in financial statements).</w:t>
            </w:r>
          </w:p>
          <w:p w14:paraId="0F4161AE" w14:textId="77777777" w:rsidR="005B7602" w:rsidRPr="00812A8E" w:rsidRDefault="005B7602" w:rsidP="00FA190A">
            <w:pPr>
              <w:autoSpaceDE w:val="0"/>
              <w:autoSpaceDN w:val="0"/>
              <w:adjustRightInd w:val="0"/>
              <w:jc w:val="both"/>
              <w:rPr>
                <w:rFonts w:ascii="Arial" w:hAnsi="Arial" w:cs="Arial"/>
                <w:color w:val="000000"/>
                <w:sz w:val="20"/>
                <w:szCs w:val="20"/>
              </w:rPr>
            </w:pPr>
          </w:p>
          <w:p w14:paraId="5A4D1691" w14:textId="77777777" w:rsidR="005B7602" w:rsidRPr="00812A8E" w:rsidRDefault="005B7602" w:rsidP="00FA190A">
            <w:pPr>
              <w:autoSpaceDE w:val="0"/>
              <w:autoSpaceDN w:val="0"/>
              <w:adjustRightInd w:val="0"/>
              <w:jc w:val="both"/>
              <w:rPr>
                <w:rFonts w:ascii="Arial" w:hAnsi="Arial" w:cs="Arial"/>
                <w:color w:val="000000"/>
                <w:sz w:val="20"/>
                <w:szCs w:val="20"/>
              </w:rPr>
            </w:pPr>
            <w:r w:rsidRPr="00812A8E">
              <w:rPr>
                <w:rFonts w:ascii="Arial" w:hAnsi="Arial" w:cs="Arial"/>
                <w:color w:val="000000"/>
                <w:sz w:val="20"/>
                <w:szCs w:val="20"/>
              </w:rPr>
              <w:t>Suggest adding reference:</w:t>
            </w:r>
          </w:p>
          <w:p w14:paraId="5A67A805" w14:textId="77777777" w:rsidR="005B7602" w:rsidRPr="00812A8E" w:rsidRDefault="005B7602" w:rsidP="00FA190A">
            <w:pPr>
              <w:autoSpaceDE w:val="0"/>
              <w:autoSpaceDN w:val="0"/>
              <w:adjustRightInd w:val="0"/>
              <w:jc w:val="both"/>
              <w:rPr>
                <w:rFonts w:ascii="Arial" w:hAnsi="Arial" w:cs="Arial"/>
                <w:color w:val="000000"/>
                <w:sz w:val="20"/>
                <w:szCs w:val="20"/>
              </w:rPr>
            </w:pPr>
          </w:p>
          <w:p w14:paraId="55A59E82" w14:textId="77777777" w:rsidR="005B7602" w:rsidRPr="00812A8E" w:rsidRDefault="005B7602" w:rsidP="00FA190A">
            <w:pPr>
              <w:autoSpaceDE w:val="0"/>
              <w:autoSpaceDN w:val="0"/>
              <w:adjustRightInd w:val="0"/>
              <w:jc w:val="both"/>
              <w:rPr>
                <w:rFonts w:ascii="Arial" w:hAnsi="Arial" w:cs="Arial"/>
                <w:color w:val="000000"/>
                <w:sz w:val="20"/>
                <w:szCs w:val="20"/>
              </w:rPr>
            </w:pPr>
            <w:r w:rsidRPr="00812A8E">
              <w:rPr>
                <w:rFonts w:ascii="Arial" w:hAnsi="Arial" w:cs="Arial"/>
                <w:color w:val="000000"/>
                <w:sz w:val="20"/>
                <w:szCs w:val="20"/>
              </w:rPr>
              <w:t>Stephen J. Gauthier, Governmental Accounting, Auditing, and Financial Reporting, GFOA, 2014.</w:t>
            </w:r>
          </w:p>
          <w:p w14:paraId="15EF7C2C" w14:textId="4DBEC122" w:rsidR="005B7602" w:rsidRPr="00812A8E" w:rsidRDefault="005B7602" w:rsidP="00FA190A">
            <w:pPr>
              <w:autoSpaceDE w:val="0"/>
              <w:autoSpaceDN w:val="0"/>
              <w:adjustRightInd w:val="0"/>
              <w:jc w:val="both"/>
              <w:rPr>
                <w:rFonts w:ascii="Arial" w:hAnsi="Arial" w:cs="Arial"/>
                <w:color w:val="000000"/>
                <w:sz w:val="20"/>
                <w:szCs w:val="20"/>
              </w:rPr>
            </w:pPr>
            <w:r w:rsidRPr="00812A8E">
              <w:rPr>
                <w:rFonts w:ascii="Arial" w:hAnsi="Arial" w:cs="Arial"/>
                <w:color w:val="000000"/>
                <w:sz w:val="20"/>
                <w:szCs w:val="20"/>
              </w:rPr>
              <w:t>Appendix G</w:t>
            </w:r>
          </w:p>
        </w:tc>
      </w:tr>
      <w:tr w:rsidR="005B7602" w:rsidRPr="00812A8E" w14:paraId="3A099BD5" w14:textId="77777777" w:rsidTr="005B7602">
        <w:trPr>
          <w:trHeight w:val="116"/>
        </w:trPr>
        <w:tc>
          <w:tcPr>
            <w:tcW w:w="632" w:type="pct"/>
          </w:tcPr>
          <w:p w14:paraId="2D75BE63" w14:textId="77777777" w:rsidR="005B7602" w:rsidRPr="00812A8E" w:rsidRDefault="005B7602" w:rsidP="00FF6B64">
            <w:pPr>
              <w:pStyle w:val="Heading2"/>
              <w:keepNext w:val="0"/>
              <w:rPr>
                <w:rFonts w:ascii="Arial" w:hAnsi="Arial" w:cs="Arial"/>
                <w:b w:val="0"/>
                <w:bCs w:val="0"/>
                <w:sz w:val="20"/>
                <w:szCs w:val="20"/>
              </w:rPr>
            </w:pPr>
          </w:p>
        </w:tc>
        <w:tc>
          <w:tcPr>
            <w:tcW w:w="4368" w:type="pct"/>
          </w:tcPr>
          <w:p w14:paraId="6F76C251" w14:textId="77777777" w:rsidR="005B7602" w:rsidRPr="00812A8E" w:rsidRDefault="005B7602" w:rsidP="00FF6B64">
            <w:pPr>
              <w:autoSpaceDE w:val="0"/>
              <w:autoSpaceDN w:val="0"/>
              <w:adjustRightInd w:val="0"/>
              <w:jc w:val="both"/>
              <w:rPr>
                <w:rFonts w:ascii="Arial" w:hAnsi="Arial" w:cs="Arial"/>
                <w:color w:val="000000"/>
                <w:sz w:val="20"/>
                <w:szCs w:val="20"/>
              </w:rPr>
            </w:pPr>
          </w:p>
        </w:tc>
      </w:tr>
      <w:tr w:rsidR="005B7602" w:rsidRPr="00812A8E" w14:paraId="4EE5F45E" w14:textId="77777777" w:rsidTr="005B7602">
        <w:trPr>
          <w:trHeight w:val="116"/>
        </w:trPr>
        <w:tc>
          <w:tcPr>
            <w:tcW w:w="632" w:type="pct"/>
          </w:tcPr>
          <w:p w14:paraId="47AEB786" w14:textId="2C7F1CDA" w:rsidR="005B7602" w:rsidRPr="00812A8E" w:rsidRDefault="005B7602" w:rsidP="00FF6B64">
            <w:pPr>
              <w:pStyle w:val="Heading2"/>
              <w:keepNext w:val="0"/>
              <w:rPr>
                <w:rFonts w:ascii="Arial" w:hAnsi="Arial" w:cs="Arial"/>
                <w:b w:val="0"/>
                <w:bCs w:val="0"/>
                <w:sz w:val="20"/>
                <w:szCs w:val="20"/>
              </w:rPr>
            </w:pPr>
            <w:r w:rsidRPr="00812A8E">
              <w:rPr>
                <w:rFonts w:ascii="Arial" w:hAnsi="Arial" w:cs="Arial"/>
                <w:b w:val="0"/>
                <w:bCs w:val="0"/>
                <w:sz w:val="20"/>
                <w:szCs w:val="20"/>
              </w:rPr>
              <w:t>16</w:t>
            </w:r>
          </w:p>
        </w:tc>
        <w:tc>
          <w:tcPr>
            <w:tcW w:w="4368" w:type="pct"/>
          </w:tcPr>
          <w:p w14:paraId="45E56922" w14:textId="77777777" w:rsidR="005B7602" w:rsidRPr="00812A8E" w:rsidRDefault="005B7602" w:rsidP="00FA190A">
            <w:pPr>
              <w:autoSpaceDE w:val="0"/>
              <w:autoSpaceDN w:val="0"/>
              <w:adjustRightInd w:val="0"/>
              <w:jc w:val="both"/>
              <w:rPr>
                <w:rFonts w:ascii="Arial" w:hAnsi="Arial" w:cs="Arial"/>
                <w:color w:val="000000"/>
                <w:sz w:val="20"/>
                <w:szCs w:val="20"/>
              </w:rPr>
            </w:pPr>
            <w:r w:rsidRPr="00812A8E">
              <w:rPr>
                <w:rFonts w:ascii="Arial" w:hAnsi="Arial" w:cs="Arial"/>
                <w:color w:val="000000"/>
                <w:sz w:val="20"/>
                <w:szCs w:val="20"/>
              </w:rPr>
              <w:t>Suggest adding the following in column D, Documentation:</w:t>
            </w:r>
          </w:p>
          <w:p w14:paraId="0CFF22A8" w14:textId="77777777" w:rsidR="005B7602" w:rsidRPr="00812A8E" w:rsidRDefault="005B7602" w:rsidP="00FA190A">
            <w:pPr>
              <w:autoSpaceDE w:val="0"/>
              <w:autoSpaceDN w:val="0"/>
              <w:adjustRightInd w:val="0"/>
              <w:jc w:val="both"/>
              <w:rPr>
                <w:rFonts w:ascii="Arial" w:hAnsi="Arial" w:cs="Arial"/>
                <w:color w:val="000000"/>
                <w:sz w:val="20"/>
                <w:szCs w:val="20"/>
              </w:rPr>
            </w:pPr>
          </w:p>
          <w:p w14:paraId="08E1389F" w14:textId="59839A6F" w:rsidR="005B7602" w:rsidRPr="00812A8E" w:rsidRDefault="005B7602" w:rsidP="00FA190A">
            <w:pPr>
              <w:autoSpaceDE w:val="0"/>
              <w:autoSpaceDN w:val="0"/>
              <w:adjustRightInd w:val="0"/>
              <w:jc w:val="both"/>
              <w:rPr>
                <w:rFonts w:ascii="Arial" w:hAnsi="Arial" w:cs="Arial"/>
                <w:color w:val="000000"/>
                <w:sz w:val="20"/>
                <w:szCs w:val="20"/>
              </w:rPr>
            </w:pPr>
            <w:r w:rsidRPr="00812A8E">
              <w:rPr>
                <w:rFonts w:ascii="Arial" w:hAnsi="Arial" w:cs="Arial"/>
                <w:color w:val="000000"/>
                <w:sz w:val="20"/>
                <w:szCs w:val="20"/>
              </w:rPr>
              <w:t>One of two classes of activities reported in the government-wide financial statements.  Business-type activities are financed in whole or in part by fees charged to external parties for goods or services.  These activities usually are reported in enterprise funds.</w:t>
            </w:r>
          </w:p>
          <w:p w14:paraId="2C9E8E47" w14:textId="77777777" w:rsidR="005B7602" w:rsidRPr="00812A8E" w:rsidRDefault="005B7602" w:rsidP="00FA190A">
            <w:pPr>
              <w:autoSpaceDE w:val="0"/>
              <w:autoSpaceDN w:val="0"/>
              <w:adjustRightInd w:val="0"/>
              <w:jc w:val="both"/>
              <w:rPr>
                <w:rFonts w:ascii="Arial" w:hAnsi="Arial" w:cs="Arial"/>
                <w:color w:val="000000"/>
                <w:sz w:val="20"/>
                <w:szCs w:val="20"/>
              </w:rPr>
            </w:pPr>
          </w:p>
          <w:p w14:paraId="4345E695" w14:textId="28C870DD" w:rsidR="005B7602" w:rsidRPr="00812A8E" w:rsidRDefault="005B7602" w:rsidP="00FA190A">
            <w:pPr>
              <w:autoSpaceDE w:val="0"/>
              <w:autoSpaceDN w:val="0"/>
              <w:adjustRightInd w:val="0"/>
              <w:jc w:val="both"/>
              <w:rPr>
                <w:rFonts w:ascii="Arial" w:hAnsi="Arial" w:cs="Arial"/>
                <w:color w:val="000000"/>
                <w:sz w:val="20"/>
                <w:szCs w:val="20"/>
              </w:rPr>
            </w:pPr>
            <w:r w:rsidRPr="00812A8E">
              <w:rPr>
                <w:rFonts w:ascii="Arial" w:hAnsi="Arial" w:cs="Arial"/>
                <w:color w:val="000000"/>
                <w:sz w:val="20"/>
                <w:szCs w:val="20"/>
              </w:rPr>
              <w:t>Suggest adding reference:</w:t>
            </w:r>
          </w:p>
          <w:p w14:paraId="6BABAC28" w14:textId="77777777" w:rsidR="005B7602" w:rsidRPr="00812A8E" w:rsidRDefault="005B7602" w:rsidP="00FA190A">
            <w:pPr>
              <w:autoSpaceDE w:val="0"/>
              <w:autoSpaceDN w:val="0"/>
              <w:adjustRightInd w:val="0"/>
              <w:jc w:val="both"/>
              <w:rPr>
                <w:rFonts w:ascii="Arial" w:hAnsi="Arial" w:cs="Arial"/>
                <w:color w:val="000000"/>
                <w:sz w:val="20"/>
                <w:szCs w:val="20"/>
              </w:rPr>
            </w:pPr>
          </w:p>
          <w:p w14:paraId="33F8660E" w14:textId="77777777" w:rsidR="005B7602" w:rsidRPr="00812A8E" w:rsidRDefault="005B7602" w:rsidP="00FA190A">
            <w:pPr>
              <w:autoSpaceDE w:val="0"/>
              <w:autoSpaceDN w:val="0"/>
              <w:adjustRightInd w:val="0"/>
              <w:jc w:val="both"/>
              <w:rPr>
                <w:rFonts w:ascii="Arial" w:hAnsi="Arial" w:cs="Arial"/>
                <w:color w:val="000000"/>
                <w:sz w:val="20"/>
                <w:szCs w:val="20"/>
              </w:rPr>
            </w:pPr>
            <w:r w:rsidRPr="00812A8E">
              <w:rPr>
                <w:rFonts w:ascii="Arial" w:hAnsi="Arial" w:cs="Arial"/>
                <w:color w:val="000000"/>
                <w:sz w:val="20"/>
                <w:szCs w:val="20"/>
              </w:rPr>
              <w:t>Stephen J. Gauthier, Governmental Accounting, Auditing, and Financial Reporting, GFOA, 2014.</w:t>
            </w:r>
          </w:p>
          <w:p w14:paraId="28D3580F" w14:textId="5B6FF3BC" w:rsidR="005B7602" w:rsidRPr="00812A8E" w:rsidRDefault="005B7602" w:rsidP="00FA190A">
            <w:pPr>
              <w:autoSpaceDE w:val="0"/>
              <w:autoSpaceDN w:val="0"/>
              <w:adjustRightInd w:val="0"/>
              <w:jc w:val="both"/>
              <w:rPr>
                <w:rFonts w:ascii="Arial" w:hAnsi="Arial" w:cs="Arial"/>
                <w:color w:val="000000"/>
                <w:sz w:val="20"/>
                <w:szCs w:val="20"/>
              </w:rPr>
            </w:pPr>
            <w:r w:rsidRPr="00812A8E">
              <w:rPr>
                <w:rFonts w:ascii="Arial" w:hAnsi="Arial" w:cs="Arial"/>
                <w:color w:val="000000"/>
                <w:sz w:val="20"/>
                <w:szCs w:val="20"/>
              </w:rPr>
              <w:t>Appendix G</w:t>
            </w:r>
          </w:p>
        </w:tc>
      </w:tr>
      <w:tr w:rsidR="005B7602" w:rsidRPr="00812A8E" w14:paraId="230128C4" w14:textId="77777777" w:rsidTr="005B7602">
        <w:trPr>
          <w:trHeight w:val="116"/>
        </w:trPr>
        <w:tc>
          <w:tcPr>
            <w:tcW w:w="632" w:type="pct"/>
          </w:tcPr>
          <w:p w14:paraId="27BC6CA0" w14:textId="77777777" w:rsidR="005B7602" w:rsidRPr="00812A8E" w:rsidRDefault="005B7602" w:rsidP="00FF6B64">
            <w:pPr>
              <w:pStyle w:val="Heading2"/>
              <w:keepNext w:val="0"/>
              <w:rPr>
                <w:rFonts w:ascii="Arial" w:hAnsi="Arial" w:cs="Arial"/>
                <w:b w:val="0"/>
                <w:bCs w:val="0"/>
                <w:sz w:val="20"/>
                <w:szCs w:val="20"/>
              </w:rPr>
            </w:pPr>
          </w:p>
        </w:tc>
        <w:tc>
          <w:tcPr>
            <w:tcW w:w="4368" w:type="pct"/>
          </w:tcPr>
          <w:p w14:paraId="4D0DBC64" w14:textId="77777777" w:rsidR="005B7602" w:rsidRPr="00812A8E" w:rsidRDefault="005B7602" w:rsidP="00FF6B64">
            <w:pPr>
              <w:autoSpaceDE w:val="0"/>
              <w:autoSpaceDN w:val="0"/>
              <w:adjustRightInd w:val="0"/>
              <w:jc w:val="both"/>
              <w:rPr>
                <w:rFonts w:ascii="Arial" w:hAnsi="Arial" w:cs="Arial"/>
                <w:color w:val="000000"/>
                <w:sz w:val="20"/>
                <w:szCs w:val="20"/>
              </w:rPr>
            </w:pPr>
          </w:p>
        </w:tc>
      </w:tr>
      <w:tr w:rsidR="005B7602" w:rsidRPr="00812A8E" w14:paraId="746A1B04" w14:textId="77777777" w:rsidTr="005B7602">
        <w:trPr>
          <w:trHeight w:val="116"/>
        </w:trPr>
        <w:tc>
          <w:tcPr>
            <w:tcW w:w="632" w:type="pct"/>
          </w:tcPr>
          <w:p w14:paraId="0F710A00" w14:textId="2D1287F0" w:rsidR="005B7602" w:rsidRPr="00812A8E" w:rsidRDefault="005B7602" w:rsidP="00FF6B64">
            <w:pPr>
              <w:pStyle w:val="Heading2"/>
              <w:keepNext w:val="0"/>
              <w:rPr>
                <w:rFonts w:ascii="Arial" w:hAnsi="Arial" w:cs="Arial"/>
                <w:b w:val="0"/>
                <w:bCs w:val="0"/>
                <w:sz w:val="20"/>
                <w:szCs w:val="20"/>
              </w:rPr>
            </w:pPr>
            <w:r w:rsidRPr="00812A8E">
              <w:rPr>
                <w:rFonts w:ascii="Arial" w:hAnsi="Arial" w:cs="Arial"/>
                <w:b w:val="0"/>
                <w:bCs w:val="0"/>
                <w:sz w:val="20"/>
                <w:szCs w:val="20"/>
              </w:rPr>
              <w:t>19</w:t>
            </w:r>
          </w:p>
        </w:tc>
        <w:tc>
          <w:tcPr>
            <w:tcW w:w="4368" w:type="pct"/>
          </w:tcPr>
          <w:p w14:paraId="5E62191B" w14:textId="4EBB9EFF" w:rsidR="005B7602" w:rsidRPr="00812A8E" w:rsidRDefault="005B7602" w:rsidP="00FF6B64">
            <w:pPr>
              <w:rPr>
                <w:rFonts w:ascii="Arial" w:hAnsi="Arial" w:cs="Arial"/>
                <w:sz w:val="20"/>
                <w:szCs w:val="20"/>
              </w:rPr>
            </w:pPr>
            <w:r w:rsidRPr="00812A8E">
              <w:rPr>
                <w:rFonts w:ascii="Arial" w:hAnsi="Arial" w:cs="Arial"/>
                <w:sz w:val="20"/>
                <w:szCs w:val="20"/>
              </w:rPr>
              <w:t>Contained in the description are number subscripts from the codification</w:t>
            </w:r>
          </w:p>
        </w:tc>
      </w:tr>
      <w:tr w:rsidR="005B7602" w:rsidRPr="00812A8E" w14:paraId="126AFD69" w14:textId="77777777" w:rsidTr="005B7602">
        <w:trPr>
          <w:trHeight w:val="116"/>
        </w:trPr>
        <w:tc>
          <w:tcPr>
            <w:tcW w:w="632" w:type="pct"/>
          </w:tcPr>
          <w:p w14:paraId="259B4C1C" w14:textId="65599632" w:rsidR="005B7602" w:rsidRPr="00812A8E" w:rsidRDefault="005B7602" w:rsidP="00FF6B64">
            <w:pPr>
              <w:pStyle w:val="Heading2"/>
              <w:keepNext w:val="0"/>
              <w:rPr>
                <w:rFonts w:ascii="Arial" w:hAnsi="Arial" w:cs="Arial"/>
                <w:b w:val="0"/>
                <w:bCs w:val="0"/>
                <w:sz w:val="20"/>
                <w:szCs w:val="20"/>
              </w:rPr>
            </w:pPr>
          </w:p>
        </w:tc>
        <w:tc>
          <w:tcPr>
            <w:tcW w:w="4368" w:type="pct"/>
          </w:tcPr>
          <w:p w14:paraId="57AFE82D" w14:textId="6BF219D6" w:rsidR="005B7602" w:rsidRPr="00812A8E" w:rsidRDefault="005B7602" w:rsidP="00FF6B64">
            <w:pPr>
              <w:pStyle w:val="Default0"/>
              <w:rPr>
                <w:rFonts w:ascii="Arial" w:eastAsiaTheme="minorHAnsi" w:hAnsi="Arial" w:cs="Arial"/>
                <w:color w:val="auto"/>
                <w:sz w:val="20"/>
                <w:szCs w:val="20"/>
              </w:rPr>
            </w:pPr>
            <w:r w:rsidRPr="00812A8E">
              <w:rPr>
                <w:rFonts w:ascii="Arial" w:eastAsiaTheme="minorHAnsi" w:hAnsi="Arial" w:cs="Arial"/>
                <w:color w:val="auto"/>
                <w:sz w:val="20"/>
                <w:szCs w:val="20"/>
              </w:rPr>
              <w:t xml:space="preserve">Consider expanding this definition to include Construction in </w:t>
            </w:r>
            <w:proofErr w:type="gramStart"/>
            <w:r w:rsidRPr="00812A8E">
              <w:rPr>
                <w:rFonts w:ascii="Arial" w:eastAsiaTheme="minorHAnsi" w:hAnsi="Arial" w:cs="Arial"/>
                <w:color w:val="auto"/>
                <w:sz w:val="20"/>
                <w:szCs w:val="20"/>
              </w:rPr>
              <w:t>progress, or</w:t>
            </w:r>
            <w:proofErr w:type="gramEnd"/>
            <w:r w:rsidRPr="00812A8E">
              <w:rPr>
                <w:rFonts w:ascii="Arial" w:eastAsiaTheme="minorHAnsi" w:hAnsi="Arial" w:cs="Arial"/>
                <w:color w:val="auto"/>
                <w:sz w:val="20"/>
                <w:szCs w:val="20"/>
              </w:rPr>
              <w:t xml:space="preserve"> add another concept to define it. GASB 42 clarifies the GASB 34 definitions from “are used” to “have been or will be used”</w:t>
            </w:r>
            <w:r>
              <w:rPr>
                <w:rFonts w:ascii="Arial" w:eastAsiaTheme="minorHAnsi" w:hAnsi="Arial" w:cs="Arial"/>
                <w:color w:val="auto"/>
                <w:sz w:val="20"/>
                <w:szCs w:val="20"/>
              </w:rPr>
              <w:t>.</w:t>
            </w:r>
          </w:p>
        </w:tc>
      </w:tr>
      <w:tr w:rsidR="005B7602" w:rsidRPr="00812A8E" w14:paraId="10D495E7" w14:textId="77777777" w:rsidTr="005B7602">
        <w:trPr>
          <w:trHeight w:val="116"/>
        </w:trPr>
        <w:tc>
          <w:tcPr>
            <w:tcW w:w="632" w:type="pct"/>
          </w:tcPr>
          <w:p w14:paraId="65339F9C" w14:textId="38E3EECE" w:rsidR="005B7602" w:rsidRPr="00812A8E" w:rsidRDefault="005B7602" w:rsidP="00FF6B64">
            <w:pPr>
              <w:pStyle w:val="Heading2"/>
              <w:keepNext w:val="0"/>
              <w:rPr>
                <w:rFonts w:ascii="Arial" w:hAnsi="Arial" w:cs="Arial"/>
                <w:b w:val="0"/>
                <w:bCs w:val="0"/>
                <w:sz w:val="20"/>
                <w:szCs w:val="20"/>
              </w:rPr>
            </w:pPr>
          </w:p>
        </w:tc>
        <w:tc>
          <w:tcPr>
            <w:tcW w:w="4368" w:type="pct"/>
          </w:tcPr>
          <w:p w14:paraId="0EEF63CE" w14:textId="159F2862" w:rsidR="005B7602" w:rsidRPr="00812A8E" w:rsidRDefault="005B7602" w:rsidP="00795614">
            <w:pPr>
              <w:rPr>
                <w:rFonts w:ascii="Arial" w:hAnsi="Arial" w:cs="Arial"/>
                <w:color w:val="000000"/>
                <w:sz w:val="20"/>
                <w:szCs w:val="20"/>
              </w:rPr>
            </w:pPr>
            <w:r w:rsidRPr="00812A8E">
              <w:rPr>
                <w:rFonts w:ascii="Arial" w:hAnsi="Arial" w:cs="Arial"/>
                <w:color w:val="000000"/>
                <w:sz w:val="20"/>
                <w:szCs w:val="20"/>
              </w:rPr>
              <w:t>The description is capital assets net, yet the documentation column does not mention depreciation.</w:t>
            </w:r>
          </w:p>
        </w:tc>
      </w:tr>
      <w:tr w:rsidR="005B7602" w:rsidRPr="00812A8E" w14:paraId="60D0BFCB" w14:textId="77777777" w:rsidTr="005B7602">
        <w:trPr>
          <w:trHeight w:val="116"/>
        </w:trPr>
        <w:tc>
          <w:tcPr>
            <w:tcW w:w="632" w:type="pct"/>
          </w:tcPr>
          <w:p w14:paraId="2D8870AC" w14:textId="77777777" w:rsidR="005B7602" w:rsidRPr="00812A8E" w:rsidRDefault="005B7602" w:rsidP="00FF6B64">
            <w:pPr>
              <w:pStyle w:val="Heading2"/>
              <w:keepNext w:val="0"/>
              <w:rPr>
                <w:rFonts w:ascii="Arial" w:hAnsi="Arial" w:cs="Arial"/>
                <w:b w:val="0"/>
                <w:bCs w:val="0"/>
                <w:sz w:val="20"/>
                <w:szCs w:val="20"/>
              </w:rPr>
            </w:pPr>
          </w:p>
        </w:tc>
        <w:tc>
          <w:tcPr>
            <w:tcW w:w="4368" w:type="pct"/>
          </w:tcPr>
          <w:p w14:paraId="3F3B4B9E" w14:textId="77777777" w:rsidR="005B7602" w:rsidRPr="00812A8E" w:rsidRDefault="005B7602" w:rsidP="00FF6B64">
            <w:pPr>
              <w:pStyle w:val="Default0"/>
              <w:rPr>
                <w:rFonts w:ascii="Arial" w:eastAsiaTheme="minorHAnsi" w:hAnsi="Arial" w:cs="Arial"/>
                <w:color w:val="auto"/>
                <w:sz w:val="20"/>
                <w:szCs w:val="20"/>
              </w:rPr>
            </w:pPr>
          </w:p>
        </w:tc>
      </w:tr>
      <w:tr w:rsidR="005B7602" w:rsidRPr="00812A8E" w14:paraId="0EA057C5" w14:textId="77777777" w:rsidTr="005B7602">
        <w:trPr>
          <w:trHeight w:val="116"/>
        </w:trPr>
        <w:tc>
          <w:tcPr>
            <w:tcW w:w="632" w:type="pct"/>
          </w:tcPr>
          <w:p w14:paraId="435AAEF4" w14:textId="53B4F69F" w:rsidR="005B7602" w:rsidRPr="00812A8E" w:rsidRDefault="005B7602" w:rsidP="00FF6B64">
            <w:pPr>
              <w:pStyle w:val="Heading2"/>
              <w:keepNext w:val="0"/>
              <w:rPr>
                <w:rFonts w:ascii="Arial" w:hAnsi="Arial" w:cs="Arial"/>
                <w:b w:val="0"/>
                <w:bCs w:val="0"/>
                <w:sz w:val="20"/>
                <w:szCs w:val="20"/>
              </w:rPr>
            </w:pPr>
            <w:r w:rsidRPr="00812A8E">
              <w:rPr>
                <w:rFonts w:ascii="Arial" w:eastAsiaTheme="minorHAnsi" w:hAnsi="Arial" w:cs="Arial"/>
                <w:b w:val="0"/>
                <w:sz w:val="20"/>
                <w:szCs w:val="20"/>
              </w:rPr>
              <w:t>19 (and 154)</w:t>
            </w:r>
          </w:p>
        </w:tc>
        <w:tc>
          <w:tcPr>
            <w:tcW w:w="4368" w:type="pct"/>
          </w:tcPr>
          <w:p w14:paraId="79C4D15A" w14:textId="15DCFE43" w:rsidR="005B7602" w:rsidRPr="00812A8E" w:rsidRDefault="005B7602" w:rsidP="00FF6B64">
            <w:pPr>
              <w:pStyle w:val="Default0"/>
              <w:rPr>
                <w:rFonts w:ascii="Arial" w:eastAsiaTheme="minorHAnsi" w:hAnsi="Arial" w:cs="Arial"/>
                <w:color w:val="auto"/>
                <w:sz w:val="20"/>
                <w:szCs w:val="20"/>
              </w:rPr>
            </w:pPr>
            <w:r w:rsidRPr="00812A8E">
              <w:rPr>
                <w:rFonts w:ascii="Arial" w:eastAsiaTheme="minorHAnsi" w:hAnsi="Arial" w:cs="Arial"/>
                <w:color w:val="auto"/>
                <w:sz w:val="20"/>
                <w:szCs w:val="20"/>
              </w:rPr>
              <w:t>The definitions should be updated to remove unnecessary footnote references copied from the GASB Codification.</w:t>
            </w:r>
          </w:p>
        </w:tc>
      </w:tr>
      <w:tr w:rsidR="005B7602" w:rsidRPr="00812A8E" w14:paraId="4F9DC7A0" w14:textId="77777777" w:rsidTr="005B7602">
        <w:trPr>
          <w:trHeight w:val="116"/>
        </w:trPr>
        <w:tc>
          <w:tcPr>
            <w:tcW w:w="632" w:type="pct"/>
          </w:tcPr>
          <w:p w14:paraId="049E5B23" w14:textId="77777777" w:rsidR="005B7602" w:rsidRPr="00812A8E" w:rsidRDefault="005B7602" w:rsidP="00FF6B64">
            <w:pPr>
              <w:pStyle w:val="Heading2"/>
              <w:keepNext w:val="0"/>
              <w:rPr>
                <w:rFonts w:ascii="Arial" w:hAnsi="Arial" w:cs="Arial"/>
                <w:b w:val="0"/>
                <w:bCs w:val="0"/>
                <w:sz w:val="20"/>
                <w:szCs w:val="20"/>
              </w:rPr>
            </w:pPr>
          </w:p>
        </w:tc>
        <w:tc>
          <w:tcPr>
            <w:tcW w:w="4368" w:type="pct"/>
          </w:tcPr>
          <w:p w14:paraId="07FB52A2" w14:textId="77777777" w:rsidR="005B7602" w:rsidRPr="00812A8E" w:rsidRDefault="005B7602" w:rsidP="00FF6B64">
            <w:pPr>
              <w:pStyle w:val="Default0"/>
              <w:rPr>
                <w:rFonts w:ascii="Arial" w:eastAsiaTheme="minorHAnsi" w:hAnsi="Arial" w:cs="Arial"/>
                <w:color w:val="auto"/>
                <w:sz w:val="20"/>
                <w:szCs w:val="20"/>
              </w:rPr>
            </w:pPr>
          </w:p>
        </w:tc>
      </w:tr>
      <w:tr w:rsidR="005B7602" w:rsidRPr="00812A8E" w14:paraId="79C92ED4" w14:textId="77777777" w:rsidTr="005B7602">
        <w:trPr>
          <w:trHeight w:val="116"/>
        </w:trPr>
        <w:tc>
          <w:tcPr>
            <w:tcW w:w="632" w:type="pct"/>
          </w:tcPr>
          <w:p w14:paraId="08A35A77" w14:textId="1437AB10" w:rsidR="005B7602" w:rsidRPr="00812A8E" w:rsidRDefault="005B7602" w:rsidP="00FF6B64">
            <w:pPr>
              <w:pStyle w:val="Heading2"/>
              <w:keepNext w:val="0"/>
              <w:rPr>
                <w:rFonts w:ascii="Arial" w:hAnsi="Arial" w:cs="Arial"/>
                <w:b w:val="0"/>
                <w:bCs w:val="0"/>
                <w:sz w:val="20"/>
                <w:szCs w:val="20"/>
              </w:rPr>
            </w:pPr>
            <w:r w:rsidRPr="00812A8E">
              <w:rPr>
                <w:rFonts w:ascii="Arial" w:hAnsi="Arial" w:cs="Arial"/>
                <w:b w:val="0"/>
                <w:bCs w:val="0"/>
                <w:sz w:val="20"/>
                <w:szCs w:val="20"/>
              </w:rPr>
              <w:t>20</w:t>
            </w:r>
          </w:p>
        </w:tc>
        <w:tc>
          <w:tcPr>
            <w:tcW w:w="4368" w:type="pct"/>
          </w:tcPr>
          <w:p w14:paraId="06B57153" w14:textId="49E596EB" w:rsidR="005B7602" w:rsidRPr="00812A8E" w:rsidRDefault="005B7602" w:rsidP="00FF6B64">
            <w:pPr>
              <w:pStyle w:val="Default0"/>
              <w:rPr>
                <w:rFonts w:ascii="Arial" w:eastAsiaTheme="minorHAnsi" w:hAnsi="Arial" w:cs="Arial"/>
                <w:color w:val="auto"/>
                <w:sz w:val="20"/>
                <w:szCs w:val="20"/>
              </w:rPr>
            </w:pPr>
            <w:r w:rsidRPr="00812A8E">
              <w:rPr>
                <w:rFonts w:ascii="Arial" w:eastAsiaTheme="minorHAnsi" w:hAnsi="Arial" w:cs="Arial"/>
                <w:color w:val="auto"/>
                <w:sz w:val="20"/>
                <w:szCs w:val="20"/>
              </w:rPr>
              <w:t>The description states that the revenues reduce program revenue.  This is only true on the Statement of Activities in the Government-wide F/S.</w:t>
            </w:r>
          </w:p>
        </w:tc>
      </w:tr>
      <w:tr w:rsidR="005B7602" w:rsidRPr="00812A8E" w14:paraId="1F478E5D" w14:textId="77777777" w:rsidTr="005B7602">
        <w:trPr>
          <w:trHeight w:val="116"/>
        </w:trPr>
        <w:tc>
          <w:tcPr>
            <w:tcW w:w="632" w:type="pct"/>
          </w:tcPr>
          <w:p w14:paraId="499CA47D" w14:textId="77777777" w:rsidR="005B7602" w:rsidRPr="00812A8E" w:rsidRDefault="005B7602" w:rsidP="00FF6B64">
            <w:pPr>
              <w:pStyle w:val="Heading2"/>
              <w:keepNext w:val="0"/>
              <w:rPr>
                <w:rFonts w:ascii="Arial" w:hAnsi="Arial" w:cs="Arial"/>
                <w:b w:val="0"/>
                <w:bCs w:val="0"/>
                <w:sz w:val="20"/>
                <w:szCs w:val="20"/>
              </w:rPr>
            </w:pPr>
          </w:p>
        </w:tc>
        <w:tc>
          <w:tcPr>
            <w:tcW w:w="4368" w:type="pct"/>
          </w:tcPr>
          <w:p w14:paraId="738A64BD" w14:textId="77777777" w:rsidR="005B7602" w:rsidRPr="00812A8E" w:rsidRDefault="005B7602" w:rsidP="00FF6B64">
            <w:pPr>
              <w:pStyle w:val="Default0"/>
              <w:rPr>
                <w:rFonts w:ascii="Arial" w:eastAsiaTheme="minorHAnsi" w:hAnsi="Arial" w:cs="Arial"/>
                <w:color w:val="auto"/>
                <w:sz w:val="20"/>
                <w:szCs w:val="20"/>
              </w:rPr>
            </w:pPr>
          </w:p>
        </w:tc>
      </w:tr>
      <w:tr w:rsidR="005B7602" w:rsidRPr="00812A8E" w14:paraId="593D8F22" w14:textId="77777777" w:rsidTr="005B7602">
        <w:trPr>
          <w:trHeight w:val="116"/>
        </w:trPr>
        <w:tc>
          <w:tcPr>
            <w:tcW w:w="632" w:type="pct"/>
          </w:tcPr>
          <w:p w14:paraId="0F064343" w14:textId="507E6E30" w:rsidR="005B7602" w:rsidRPr="00812A8E" w:rsidRDefault="005B7602" w:rsidP="00FF6B64">
            <w:pPr>
              <w:pStyle w:val="Heading2"/>
              <w:keepNext w:val="0"/>
              <w:rPr>
                <w:rFonts w:ascii="Arial" w:hAnsi="Arial" w:cs="Arial"/>
                <w:b w:val="0"/>
                <w:bCs w:val="0"/>
                <w:sz w:val="20"/>
                <w:szCs w:val="20"/>
              </w:rPr>
            </w:pPr>
            <w:r w:rsidRPr="00812A8E">
              <w:rPr>
                <w:rFonts w:ascii="Arial" w:hAnsi="Arial" w:cs="Arial"/>
                <w:b w:val="0"/>
                <w:bCs w:val="0"/>
                <w:sz w:val="20"/>
                <w:szCs w:val="20"/>
              </w:rPr>
              <w:t>22</w:t>
            </w:r>
          </w:p>
        </w:tc>
        <w:tc>
          <w:tcPr>
            <w:tcW w:w="4368" w:type="pct"/>
          </w:tcPr>
          <w:p w14:paraId="3E763E37" w14:textId="7A7CC1E9" w:rsidR="005B7602" w:rsidRPr="00812A8E" w:rsidRDefault="005B7602" w:rsidP="00FF6B64">
            <w:pPr>
              <w:pStyle w:val="Default0"/>
              <w:rPr>
                <w:rFonts w:ascii="Arial" w:eastAsiaTheme="minorHAnsi" w:hAnsi="Arial" w:cs="Arial"/>
                <w:color w:val="auto"/>
                <w:sz w:val="20"/>
                <w:szCs w:val="20"/>
              </w:rPr>
            </w:pPr>
            <w:r w:rsidRPr="00812A8E">
              <w:rPr>
                <w:rFonts w:ascii="Arial" w:eastAsiaTheme="minorHAnsi" w:hAnsi="Arial" w:cs="Arial"/>
                <w:color w:val="auto"/>
                <w:sz w:val="20"/>
                <w:szCs w:val="20"/>
              </w:rPr>
              <w:t>Not all General Obligation bond proceeds are expended through a Capital Project Fund in practice.</w:t>
            </w:r>
          </w:p>
        </w:tc>
      </w:tr>
      <w:tr w:rsidR="005B7602" w:rsidRPr="00812A8E" w14:paraId="081D524C" w14:textId="77777777" w:rsidTr="005B7602">
        <w:trPr>
          <w:trHeight w:val="116"/>
        </w:trPr>
        <w:tc>
          <w:tcPr>
            <w:tcW w:w="632" w:type="pct"/>
          </w:tcPr>
          <w:p w14:paraId="11AE3FBB" w14:textId="77777777" w:rsidR="005B7602" w:rsidRPr="00812A8E" w:rsidRDefault="005B7602" w:rsidP="00FF6B64">
            <w:pPr>
              <w:pStyle w:val="Heading2"/>
              <w:keepNext w:val="0"/>
              <w:rPr>
                <w:rFonts w:ascii="Arial" w:hAnsi="Arial" w:cs="Arial"/>
                <w:b w:val="0"/>
                <w:bCs w:val="0"/>
                <w:sz w:val="20"/>
                <w:szCs w:val="20"/>
              </w:rPr>
            </w:pPr>
          </w:p>
        </w:tc>
        <w:tc>
          <w:tcPr>
            <w:tcW w:w="4368" w:type="pct"/>
          </w:tcPr>
          <w:p w14:paraId="0E5C5B0A" w14:textId="77777777" w:rsidR="005B7602" w:rsidRPr="00812A8E" w:rsidRDefault="005B7602" w:rsidP="00FF6B64">
            <w:pPr>
              <w:pStyle w:val="Default0"/>
              <w:rPr>
                <w:rFonts w:ascii="Arial" w:eastAsiaTheme="minorHAnsi" w:hAnsi="Arial" w:cs="Arial"/>
                <w:color w:val="auto"/>
                <w:sz w:val="20"/>
                <w:szCs w:val="20"/>
              </w:rPr>
            </w:pPr>
          </w:p>
        </w:tc>
      </w:tr>
      <w:tr w:rsidR="005B7602" w:rsidRPr="00812A8E" w14:paraId="2DAF5D68" w14:textId="77777777" w:rsidTr="005B7602">
        <w:trPr>
          <w:trHeight w:val="116"/>
        </w:trPr>
        <w:tc>
          <w:tcPr>
            <w:tcW w:w="632" w:type="pct"/>
          </w:tcPr>
          <w:p w14:paraId="4B196901" w14:textId="622A2D06" w:rsidR="005B7602" w:rsidRPr="00812A8E" w:rsidRDefault="005B7602" w:rsidP="00FF6B64">
            <w:pPr>
              <w:pStyle w:val="Heading2"/>
              <w:keepNext w:val="0"/>
              <w:rPr>
                <w:rFonts w:ascii="Arial" w:hAnsi="Arial" w:cs="Arial"/>
                <w:b w:val="0"/>
                <w:bCs w:val="0"/>
                <w:sz w:val="20"/>
                <w:szCs w:val="20"/>
              </w:rPr>
            </w:pPr>
            <w:r w:rsidRPr="00812A8E">
              <w:rPr>
                <w:rFonts w:ascii="Arial" w:hAnsi="Arial" w:cs="Arial"/>
                <w:b w:val="0"/>
                <w:bCs w:val="0"/>
                <w:sz w:val="20"/>
                <w:szCs w:val="20"/>
              </w:rPr>
              <w:t>23</w:t>
            </w:r>
          </w:p>
        </w:tc>
        <w:tc>
          <w:tcPr>
            <w:tcW w:w="4368" w:type="pct"/>
          </w:tcPr>
          <w:p w14:paraId="6CCA731F" w14:textId="71F1BCFF" w:rsidR="005B7602" w:rsidRPr="00812A8E" w:rsidRDefault="005B7602" w:rsidP="00FF6B64">
            <w:pPr>
              <w:pStyle w:val="Default0"/>
              <w:rPr>
                <w:rFonts w:ascii="Arial" w:eastAsiaTheme="minorHAnsi" w:hAnsi="Arial" w:cs="Arial"/>
                <w:color w:val="auto"/>
                <w:sz w:val="20"/>
                <w:szCs w:val="20"/>
              </w:rPr>
            </w:pPr>
            <w:r w:rsidRPr="00812A8E">
              <w:rPr>
                <w:rFonts w:ascii="Arial" w:eastAsiaTheme="minorHAnsi" w:hAnsi="Arial" w:cs="Arial"/>
                <w:color w:val="auto"/>
                <w:sz w:val="20"/>
                <w:szCs w:val="20"/>
              </w:rPr>
              <w:t xml:space="preserve">The reference to GASB Cod. 2450 is overly broad, the written definition appears to be from 2450.105 </w:t>
            </w:r>
            <w:proofErr w:type="spellStart"/>
            <w:r w:rsidRPr="00812A8E">
              <w:rPr>
                <w:rFonts w:ascii="Arial" w:eastAsiaTheme="minorHAnsi" w:hAnsi="Arial" w:cs="Arial"/>
                <w:color w:val="auto"/>
                <w:sz w:val="20"/>
                <w:szCs w:val="20"/>
              </w:rPr>
              <w:t>fn</w:t>
            </w:r>
            <w:proofErr w:type="spellEnd"/>
            <w:r w:rsidRPr="00812A8E">
              <w:rPr>
                <w:rFonts w:ascii="Arial" w:eastAsiaTheme="minorHAnsi" w:hAnsi="Arial" w:cs="Arial"/>
                <w:color w:val="auto"/>
                <w:sz w:val="20"/>
                <w:szCs w:val="20"/>
              </w:rPr>
              <w:t xml:space="preserve"> 2. Also, consider expanding this definition to include situations where cash is maintained with a fiscal agent or in instances where there are related non-current assets.</w:t>
            </w:r>
          </w:p>
        </w:tc>
      </w:tr>
      <w:tr w:rsidR="005B7602" w:rsidRPr="00812A8E" w14:paraId="5B508190" w14:textId="77777777" w:rsidTr="005B7602">
        <w:trPr>
          <w:trHeight w:val="116"/>
        </w:trPr>
        <w:tc>
          <w:tcPr>
            <w:tcW w:w="632" w:type="pct"/>
          </w:tcPr>
          <w:p w14:paraId="016575EC" w14:textId="77777777" w:rsidR="005B7602" w:rsidRPr="00812A8E" w:rsidRDefault="005B7602" w:rsidP="00FF6B64">
            <w:pPr>
              <w:pStyle w:val="Heading2"/>
              <w:keepNext w:val="0"/>
              <w:rPr>
                <w:rFonts w:ascii="Arial" w:hAnsi="Arial" w:cs="Arial"/>
                <w:b w:val="0"/>
                <w:bCs w:val="0"/>
                <w:sz w:val="20"/>
                <w:szCs w:val="20"/>
              </w:rPr>
            </w:pPr>
          </w:p>
        </w:tc>
        <w:tc>
          <w:tcPr>
            <w:tcW w:w="4368" w:type="pct"/>
          </w:tcPr>
          <w:p w14:paraId="6B489A33" w14:textId="77777777" w:rsidR="005B7602" w:rsidRPr="00812A8E" w:rsidRDefault="005B7602" w:rsidP="00FF6B64">
            <w:pPr>
              <w:pStyle w:val="Default0"/>
              <w:rPr>
                <w:rFonts w:ascii="Arial" w:eastAsiaTheme="minorHAnsi" w:hAnsi="Arial" w:cs="Arial"/>
                <w:color w:val="auto"/>
                <w:sz w:val="20"/>
                <w:szCs w:val="20"/>
              </w:rPr>
            </w:pPr>
          </w:p>
        </w:tc>
      </w:tr>
      <w:tr w:rsidR="005B7602" w:rsidRPr="00812A8E" w14:paraId="52474762" w14:textId="77777777" w:rsidTr="005B7602">
        <w:trPr>
          <w:trHeight w:val="116"/>
        </w:trPr>
        <w:tc>
          <w:tcPr>
            <w:tcW w:w="632" w:type="pct"/>
          </w:tcPr>
          <w:p w14:paraId="7300167F" w14:textId="076F7044" w:rsidR="005B7602" w:rsidRPr="00812A8E" w:rsidRDefault="005B7602" w:rsidP="00FF6B64">
            <w:pPr>
              <w:pStyle w:val="Heading2"/>
              <w:keepNext w:val="0"/>
              <w:rPr>
                <w:rFonts w:ascii="Arial" w:hAnsi="Arial" w:cs="Arial"/>
                <w:b w:val="0"/>
                <w:bCs w:val="0"/>
                <w:sz w:val="20"/>
                <w:szCs w:val="20"/>
              </w:rPr>
            </w:pPr>
            <w:r w:rsidRPr="00812A8E">
              <w:rPr>
                <w:rFonts w:ascii="Arial" w:eastAsiaTheme="minorHAnsi" w:hAnsi="Arial" w:cs="Arial"/>
                <w:b w:val="0"/>
                <w:sz w:val="20"/>
                <w:szCs w:val="20"/>
              </w:rPr>
              <w:t>26</w:t>
            </w:r>
          </w:p>
        </w:tc>
        <w:tc>
          <w:tcPr>
            <w:tcW w:w="4368" w:type="pct"/>
          </w:tcPr>
          <w:p w14:paraId="77FD7A3C" w14:textId="41D61004" w:rsidR="005B7602" w:rsidRPr="00812A8E" w:rsidRDefault="005B7602" w:rsidP="00FF6B64">
            <w:pPr>
              <w:rPr>
                <w:rFonts w:ascii="Arial" w:hAnsi="Arial" w:cs="Arial"/>
                <w:sz w:val="20"/>
                <w:szCs w:val="20"/>
              </w:rPr>
            </w:pPr>
            <w:r w:rsidRPr="00812A8E">
              <w:rPr>
                <w:rFonts w:ascii="Arial" w:hAnsi="Arial" w:cs="Arial"/>
                <w:sz w:val="20"/>
                <w:szCs w:val="20"/>
              </w:rPr>
              <w:t>Change in Net Position – codification reference does not seem to fit the description</w:t>
            </w:r>
            <w:r>
              <w:rPr>
                <w:rFonts w:ascii="Arial" w:hAnsi="Arial" w:cs="Arial"/>
                <w:sz w:val="20"/>
                <w:szCs w:val="20"/>
              </w:rPr>
              <w:t>.</w:t>
            </w:r>
          </w:p>
        </w:tc>
      </w:tr>
      <w:tr w:rsidR="005B7602" w:rsidRPr="00812A8E" w14:paraId="5AD8DF46" w14:textId="77777777" w:rsidTr="005B7602">
        <w:trPr>
          <w:trHeight w:val="116"/>
        </w:trPr>
        <w:tc>
          <w:tcPr>
            <w:tcW w:w="632" w:type="pct"/>
          </w:tcPr>
          <w:p w14:paraId="0A533969" w14:textId="1B4D2B3B" w:rsidR="005B7602" w:rsidRPr="00812A8E" w:rsidRDefault="005B7602" w:rsidP="00FF6B64">
            <w:pPr>
              <w:pStyle w:val="Heading2"/>
              <w:keepNext w:val="0"/>
              <w:rPr>
                <w:rFonts w:ascii="Arial" w:eastAsiaTheme="minorHAnsi" w:hAnsi="Arial" w:cs="Arial"/>
                <w:b w:val="0"/>
                <w:sz w:val="20"/>
                <w:szCs w:val="20"/>
              </w:rPr>
            </w:pPr>
          </w:p>
        </w:tc>
        <w:tc>
          <w:tcPr>
            <w:tcW w:w="4368" w:type="pct"/>
          </w:tcPr>
          <w:p w14:paraId="3FB34132" w14:textId="4ED97B00" w:rsidR="005B7602" w:rsidRPr="00812A8E" w:rsidRDefault="005B7602" w:rsidP="00FF6B64">
            <w:pPr>
              <w:rPr>
                <w:rFonts w:ascii="Arial" w:hAnsi="Arial" w:cs="Arial"/>
                <w:sz w:val="20"/>
                <w:szCs w:val="20"/>
              </w:rPr>
            </w:pPr>
            <w:r w:rsidRPr="00812A8E">
              <w:rPr>
                <w:rFonts w:ascii="Arial" w:hAnsi="Arial" w:cs="Arial"/>
                <w:sz w:val="20"/>
                <w:szCs w:val="20"/>
              </w:rPr>
              <w:t>The definitions could be improved with something in line with, “Difference in net position between the beginning and of the reporting period. The source currently listed is GASB Cod. 2200.142, while the definition appears to come from 2200.141.</w:t>
            </w:r>
          </w:p>
        </w:tc>
      </w:tr>
      <w:tr w:rsidR="005B7602" w:rsidRPr="00812A8E" w14:paraId="2CE8B0BA" w14:textId="77777777" w:rsidTr="005B7602">
        <w:trPr>
          <w:trHeight w:val="116"/>
        </w:trPr>
        <w:tc>
          <w:tcPr>
            <w:tcW w:w="632" w:type="pct"/>
          </w:tcPr>
          <w:p w14:paraId="36954175" w14:textId="7A803A77" w:rsidR="005B7602" w:rsidRPr="00812A8E" w:rsidRDefault="005B7602" w:rsidP="00FF6B64">
            <w:pPr>
              <w:pStyle w:val="Heading2"/>
              <w:keepNext w:val="0"/>
              <w:rPr>
                <w:rFonts w:ascii="Arial" w:eastAsiaTheme="minorHAnsi" w:hAnsi="Arial" w:cs="Arial"/>
                <w:b w:val="0"/>
                <w:sz w:val="20"/>
                <w:szCs w:val="20"/>
              </w:rPr>
            </w:pPr>
          </w:p>
        </w:tc>
        <w:tc>
          <w:tcPr>
            <w:tcW w:w="4368" w:type="pct"/>
          </w:tcPr>
          <w:p w14:paraId="00A09E61" w14:textId="2AF6F107" w:rsidR="005B7602" w:rsidRPr="00812A8E" w:rsidRDefault="005B7602" w:rsidP="00FF6B64">
            <w:pPr>
              <w:rPr>
                <w:rFonts w:ascii="Arial" w:hAnsi="Arial" w:cs="Arial"/>
                <w:sz w:val="20"/>
                <w:szCs w:val="20"/>
              </w:rPr>
            </w:pPr>
            <w:r w:rsidRPr="00812A8E">
              <w:rPr>
                <w:rFonts w:ascii="Arial" w:hAnsi="Arial" w:cs="Arial"/>
                <w:sz w:val="20"/>
                <w:szCs w:val="20"/>
              </w:rPr>
              <w:t>Change in net position is described for the Statement of Activities.  It also applies to Enterprise Fund Statement of Revenues, Expenses, and Changes in Net Position and Proprietary Funds.</w:t>
            </w:r>
          </w:p>
        </w:tc>
      </w:tr>
      <w:tr w:rsidR="005B7602" w:rsidRPr="00812A8E" w14:paraId="1644FD19" w14:textId="77777777" w:rsidTr="005B7602">
        <w:trPr>
          <w:trHeight w:val="116"/>
        </w:trPr>
        <w:tc>
          <w:tcPr>
            <w:tcW w:w="632" w:type="pct"/>
          </w:tcPr>
          <w:p w14:paraId="5201CFD6" w14:textId="244FE4BD" w:rsidR="005B7602" w:rsidRPr="00812A8E" w:rsidRDefault="005B7602" w:rsidP="00FF6B64">
            <w:pPr>
              <w:pStyle w:val="Heading2"/>
              <w:keepNext w:val="0"/>
              <w:rPr>
                <w:rFonts w:ascii="Arial" w:eastAsiaTheme="minorHAnsi" w:hAnsi="Arial" w:cs="Arial"/>
                <w:b w:val="0"/>
                <w:sz w:val="20"/>
                <w:szCs w:val="20"/>
              </w:rPr>
            </w:pPr>
          </w:p>
        </w:tc>
        <w:tc>
          <w:tcPr>
            <w:tcW w:w="4368" w:type="pct"/>
          </w:tcPr>
          <w:p w14:paraId="4EF1332C" w14:textId="47866A7D" w:rsidR="005B7602" w:rsidRPr="00812A8E" w:rsidRDefault="005B7602" w:rsidP="00FF6B64">
            <w:pPr>
              <w:pStyle w:val="Default0"/>
              <w:rPr>
                <w:rFonts w:ascii="Arial" w:eastAsiaTheme="minorHAnsi" w:hAnsi="Arial" w:cs="Arial"/>
                <w:color w:val="auto"/>
                <w:sz w:val="20"/>
                <w:szCs w:val="20"/>
              </w:rPr>
            </w:pPr>
            <w:r w:rsidRPr="00812A8E">
              <w:rPr>
                <w:rFonts w:ascii="Arial" w:eastAsiaTheme="minorHAnsi" w:hAnsi="Arial" w:cs="Arial"/>
                <w:color w:val="auto"/>
                <w:sz w:val="20"/>
                <w:szCs w:val="20"/>
              </w:rPr>
              <w:t>The GASB Codification paragraph reference is incorrect; it should reference paragraph 141.</w:t>
            </w:r>
          </w:p>
        </w:tc>
      </w:tr>
      <w:tr w:rsidR="005B7602" w:rsidRPr="00812A8E" w14:paraId="037BDF44" w14:textId="77777777" w:rsidTr="005B7602">
        <w:trPr>
          <w:trHeight w:val="116"/>
        </w:trPr>
        <w:tc>
          <w:tcPr>
            <w:tcW w:w="632" w:type="pct"/>
          </w:tcPr>
          <w:p w14:paraId="138A508C" w14:textId="77777777" w:rsidR="005B7602" w:rsidRPr="00812A8E" w:rsidRDefault="005B7602" w:rsidP="00FF6B64">
            <w:pPr>
              <w:pStyle w:val="Heading2"/>
              <w:keepNext w:val="0"/>
              <w:rPr>
                <w:rFonts w:ascii="Arial" w:hAnsi="Arial" w:cs="Arial"/>
                <w:b w:val="0"/>
                <w:bCs w:val="0"/>
                <w:sz w:val="20"/>
                <w:szCs w:val="20"/>
              </w:rPr>
            </w:pPr>
          </w:p>
        </w:tc>
        <w:tc>
          <w:tcPr>
            <w:tcW w:w="4368" w:type="pct"/>
          </w:tcPr>
          <w:p w14:paraId="1CC9C449" w14:textId="77777777" w:rsidR="005B7602" w:rsidRPr="00812A8E" w:rsidRDefault="005B7602" w:rsidP="00FF6B64">
            <w:pPr>
              <w:pStyle w:val="Default0"/>
              <w:rPr>
                <w:rFonts w:ascii="Arial" w:eastAsiaTheme="minorHAnsi" w:hAnsi="Arial" w:cs="Arial"/>
                <w:color w:val="auto"/>
                <w:sz w:val="20"/>
                <w:szCs w:val="20"/>
              </w:rPr>
            </w:pPr>
          </w:p>
        </w:tc>
      </w:tr>
      <w:tr w:rsidR="005B7602" w:rsidRPr="00812A8E" w14:paraId="7398748F" w14:textId="77777777" w:rsidTr="005B7602">
        <w:trPr>
          <w:trHeight w:val="116"/>
        </w:trPr>
        <w:tc>
          <w:tcPr>
            <w:tcW w:w="632" w:type="pct"/>
          </w:tcPr>
          <w:p w14:paraId="223D31C8" w14:textId="7AC17951" w:rsidR="005B7602" w:rsidRPr="00812A8E" w:rsidRDefault="005B7602" w:rsidP="00FF6B64">
            <w:pPr>
              <w:pStyle w:val="Heading2"/>
              <w:keepNext w:val="0"/>
              <w:rPr>
                <w:rFonts w:ascii="Arial" w:hAnsi="Arial" w:cs="Arial"/>
                <w:b w:val="0"/>
                <w:bCs w:val="0"/>
                <w:sz w:val="20"/>
                <w:szCs w:val="20"/>
              </w:rPr>
            </w:pPr>
            <w:r w:rsidRPr="00812A8E">
              <w:rPr>
                <w:rFonts w:ascii="Arial" w:hAnsi="Arial" w:cs="Arial"/>
                <w:b w:val="0"/>
                <w:bCs w:val="0"/>
                <w:sz w:val="20"/>
                <w:szCs w:val="20"/>
              </w:rPr>
              <w:t>27</w:t>
            </w:r>
          </w:p>
        </w:tc>
        <w:tc>
          <w:tcPr>
            <w:tcW w:w="4368" w:type="pct"/>
          </w:tcPr>
          <w:p w14:paraId="6F60E75B" w14:textId="708870D4" w:rsidR="005B7602" w:rsidRPr="00812A8E" w:rsidRDefault="005B7602" w:rsidP="00FF6B64">
            <w:pPr>
              <w:pStyle w:val="Default0"/>
              <w:rPr>
                <w:rFonts w:ascii="Arial" w:eastAsiaTheme="minorHAnsi" w:hAnsi="Arial" w:cs="Arial"/>
                <w:color w:val="auto"/>
                <w:sz w:val="20"/>
                <w:szCs w:val="20"/>
              </w:rPr>
            </w:pPr>
            <w:r w:rsidRPr="00812A8E">
              <w:rPr>
                <w:rFonts w:ascii="Arial" w:eastAsiaTheme="minorHAnsi" w:hAnsi="Arial" w:cs="Arial"/>
                <w:color w:val="auto"/>
                <w:sz w:val="20"/>
                <w:szCs w:val="20"/>
              </w:rPr>
              <w:t>It is unclear if this definition is intended to reference a program revenue.</w:t>
            </w:r>
          </w:p>
        </w:tc>
      </w:tr>
      <w:tr w:rsidR="005B7602" w:rsidRPr="00812A8E" w14:paraId="2E21B321" w14:textId="77777777" w:rsidTr="005B7602">
        <w:trPr>
          <w:trHeight w:val="116"/>
        </w:trPr>
        <w:tc>
          <w:tcPr>
            <w:tcW w:w="632" w:type="pct"/>
          </w:tcPr>
          <w:p w14:paraId="343C6BCC" w14:textId="2806E3BA" w:rsidR="005B7602" w:rsidRPr="00812A8E" w:rsidRDefault="005B7602" w:rsidP="00B37858">
            <w:pPr>
              <w:pStyle w:val="Heading2"/>
              <w:keepNext w:val="0"/>
              <w:rPr>
                <w:rFonts w:ascii="Arial" w:hAnsi="Arial" w:cs="Arial"/>
                <w:b w:val="0"/>
                <w:bCs w:val="0"/>
                <w:sz w:val="20"/>
                <w:szCs w:val="20"/>
              </w:rPr>
            </w:pPr>
          </w:p>
        </w:tc>
        <w:tc>
          <w:tcPr>
            <w:tcW w:w="4368" w:type="pct"/>
          </w:tcPr>
          <w:p w14:paraId="5C907D3F" w14:textId="2EBE4004" w:rsidR="005B7602" w:rsidRPr="00812A8E" w:rsidRDefault="005B7602" w:rsidP="00B37858">
            <w:pPr>
              <w:pStyle w:val="Default0"/>
              <w:rPr>
                <w:rFonts w:ascii="Arial" w:eastAsiaTheme="minorHAnsi" w:hAnsi="Arial" w:cs="Arial"/>
                <w:color w:val="auto"/>
                <w:sz w:val="20"/>
                <w:szCs w:val="20"/>
              </w:rPr>
            </w:pPr>
            <w:r w:rsidRPr="00812A8E">
              <w:rPr>
                <w:rFonts w:ascii="Arial" w:eastAsiaTheme="minorHAnsi" w:hAnsi="Arial" w:cs="Arial"/>
                <w:color w:val="auto"/>
                <w:sz w:val="20"/>
                <w:szCs w:val="20"/>
              </w:rPr>
              <w:t>Include a statement that the list is not all-inclusive if you are going to make a list.</w:t>
            </w:r>
          </w:p>
        </w:tc>
      </w:tr>
      <w:tr w:rsidR="005B7602" w:rsidRPr="00812A8E" w14:paraId="012E65B7" w14:textId="77777777" w:rsidTr="005B7602">
        <w:trPr>
          <w:trHeight w:val="116"/>
        </w:trPr>
        <w:tc>
          <w:tcPr>
            <w:tcW w:w="632" w:type="pct"/>
          </w:tcPr>
          <w:p w14:paraId="2B10A330" w14:textId="77777777" w:rsidR="005B7602" w:rsidRPr="00812A8E" w:rsidRDefault="005B7602" w:rsidP="00B37858">
            <w:pPr>
              <w:pStyle w:val="Heading2"/>
              <w:keepNext w:val="0"/>
              <w:rPr>
                <w:rFonts w:ascii="Arial" w:hAnsi="Arial" w:cs="Arial"/>
                <w:b w:val="0"/>
                <w:bCs w:val="0"/>
                <w:sz w:val="20"/>
                <w:szCs w:val="20"/>
              </w:rPr>
            </w:pPr>
          </w:p>
        </w:tc>
        <w:tc>
          <w:tcPr>
            <w:tcW w:w="4368" w:type="pct"/>
          </w:tcPr>
          <w:p w14:paraId="1F93B90A" w14:textId="77777777" w:rsidR="005B7602" w:rsidRPr="00812A8E" w:rsidRDefault="005B7602" w:rsidP="00B37858">
            <w:pPr>
              <w:pStyle w:val="Default0"/>
              <w:rPr>
                <w:rFonts w:ascii="Arial" w:eastAsiaTheme="minorHAnsi" w:hAnsi="Arial" w:cs="Arial"/>
                <w:color w:val="auto"/>
                <w:sz w:val="20"/>
                <w:szCs w:val="20"/>
              </w:rPr>
            </w:pPr>
          </w:p>
        </w:tc>
      </w:tr>
      <w:tr w:rsidR="005B7602" w:rsidRPr="00812A8E" w14:paraId="36A8D9C0" w14:textId="77777777" w:rsidTr="005B7602">
        <w:trPr>
          <w:trHeight w:val="116"/>
        </w:trPr>
        <w:tc>
          <w:tcPr>
            <w:tcW w:w="632" w:type="pct"/>
          </w:tcPr>
          <w:p w14:paraId="4230F6C4" w14:textId="7C19F97A" w:rsidR="005B7602" w:rsidRPr="00812A8E" w:rsidRDefault="005B7602" w:rsidP="00B37858">
            <w:pPr>
              <w:pStyle w:val="Heading2"/>
              <w:keepNext w:val="0"/>
              <w:rPr>
                <w:rFonts w:ascii="Arial" w:hAnsi="Arial" w:cs="Arial"/>
                <w:b w:val="0"/>
                <w:bCs w:val="0"/>
                <w:sz w:val="20"/>
                <w:szCs w:val="20"/>
              </w:rPr>
            </w:pPr>
            <w:r w:rsidRPr="00812A8E">
              <w:rPr>
                <w:rFonts w:ascii="Arial" w:eastAsiaTheme="minorHAnsi" w:hAnsi="Arial" w:cs="Arial"/>
                <w:b w:val="0"/>
                <w:sz w:val="20"/>
                <w:szCs w:val="20"/>
              </w:rPr>
              <w:t>30</w:t>
            </w:r>
          </w:p>
        </w:tc>
        <w:tc>
          <w:tcPr>
            <w:tcW w:w="4368" w:type="pct"/>
          </w:tcPr>
          <w:p w14:paraId="636F0F3F" w14:textId="44AB04D5" w:rsidR="005B7602" w:rsidRPr="00812A8E" w:rsidRDefault="005B7602" w:rsidP="00B37858">
            <w:pPr>
              <w:pStyle w:val="Default0"/>
              <w:rPr>
                <w:rFonts w:ascii="Arial" w:eastAsiaTheme="minorHAnsi" w:hAnsi="Arial" w:cs="Arial"/>
                <w:color w:val="auto"/>
                <w:sz w:val="20"/>
                <w:szCs w:val="20"/>
              </w:rPr>
            </w:pPr>
            <w:r w:rsidRPr="00812A8E">
              <w:rPr>
                <w:rFonts w:ascii="Arial" w:hAnsi="Arial" w:cs="Arial"/>
                <w:sz w:val="20"/>
                <w:szCs w:val="20"/>
              </w:rPr>
              <w:t>It is unclear what is being referenced in this definition.</w:t>
            </w:r>
          </w:p>
        </w:tc>
      </w:tr>
      <w:tr w:rsidR="005B7602" w:rsidRPr="00812A8E" w14:paraId="71983AB2" w14:textId="77777777" w:rsidTr="005B7602">
        <w:trPr>
          <w:trHeight w:val="116"/>
        </w:trPr>
        <w:tc>
          <w:tcPr>
            <w:tcW w:w="632" w:type="pct"/>
          </w:tcPr>
          <w:p w14:paraId="6896A625" w14:textId="2B5B31D6" w:rsidR="005B7602" w:rsidRPr="00812A8E" w:rsidRDefault="005B7602" w:rsidP="00B37858">
            <w:pPr>
              <w:pStyle w:val="Heading2"/>
              <w:keepNext w:val="0"/>
              <w:rPr>
                <w:rFonts w:ascii="Arial" w:eastAsiaTheme="minorHAnsi" w:hAnsi="Arial" w:cs="Arial"/>
                <w:b w:val="0"/>
                <w:sz w:val="20"/>
                <w:szCs w:val="20"/>
              </w:rPr>
            </w:pPr>
          </w:p>
        </w:tc>
        <w:tc>
          <w:tcPr>
            <w:tcW w:w="4368" w:type="pct"/>
          </w:tcPr>
          <w:p w14:paraId="6182CA50" w14:textId="0457E87D" w:rsidR="005B7602" w:rsidRPr="00812A8E" w:rsidRDefault="005B7602" w:rsidP="00B37858">
            <w:pPr>
              <w:pStyle w:val="Default0"/>
              <w:rPr>
                <w:rFonts w:ascii="Arial" w:eastAsiaTheme="minorHAnsi" w:hAnsi="Arial" w:cs="Arial"/>
                <w:color w:val="auto"/>
                <w:sz w:val="20"/>
                <w:szCs w:val="20"/>
              </w:rPr>
            </w:pPr>
            <w:r w:rsidRPr="00812A8E">
              <w:rPr>
                <w:rFonts w:ascii="Arial" w:eastAsiaTheme="minorHAnsi" w:hAnsi="Arial" w:cs="Arial"/>
                <w:color w:val="auto"/>
                <w:sz w:val="20"/>
                <w:szCs w:val="20"/>
              </w:rPr>
              <w:t>I’m not sure what Axis means.  However, I don't understand why this description mainly relates to governmental funds.  The section mentions Proprietary and Fiduciary Funds but doesn't describe them.</w:t>
            </w:r>
          </w:p>
        </w:tc>
      </w:tr>
      <w:tr w:rsidR="005B7602" w:rsidRPr="00812A8E" w14:paraId="63CBDA88" w14:textId="77777777" w:rsidTr="005B7602">
        <w:trPr>
          <w:trHeight w:val="116"/>
        </w:trPr>
        <w:tc>
          <w:tcPr>
            <w:tcW w:w="632" w:type="pct"/>
          </w:tcPr>
          <w:p w14:paraId="051A5703" w14:textId="3FBD78B8" w:rsidR="005B7602" w:rsidRPr="00812A8E" w:rsidRDefault="005B7602" w:rsidP="00B37858">
            <w:pPr>
              <w:pStyle w:val="Heading2"/>
              <w:keepNext w:val="0"/>
              <w:rPr>
                <w:rFonts w:ascii="Arial" w:eastAsiaTheme="minorHAnsi" w:hAnsi="Arial" w:cs="Arial"/>
                <w:b w:val="0"/>
                <w:sz w:val="20"/>
                <w:szCs w:val="20"/>
              </w:rPr>
            </w:pPr>
          </w:p>
        </w:tc>
        <w:tc>
          <w:tcPr>
            <w:tcW w:w="4368" w:type="pct"/>
          </w:tcPr>
          <w:p w14:paraId="3FB026C3" w14:textId="51571DA7" w:rsidR="005B7602" w:rsidRPr="00812A8E" w:rsidRDefault="005B7602" w:rsidP="00B37858">
            <w:pPr>
              <w:pStyle w:val="Default0"/>
              <w:rPr>
                <w:rFonts w:ascii="Arial" w:eastAsiaTheme="minorHAnsi" w:hAnsi="Arial" w:cs="Arial"/>
                <w:color w:val="auto"/>
                <w:sz w:val="20"/>
                <w:szCs w:val="20"/>
              </w:rPr>
            </w:pPr>
            <w:r w:rsidRPr="00812A8E">
              <w:rPr>
                <w:rFonts w:ascii="Arial" w:eastAsiaTheme="minorHAnsi" w:hAnsi="Arial" w:cs="Arial"/>
                <w:color w:val="auto"/>
                <w:sz w:val="20"/>
                <w:szCs w:val="20"/>
              </w:rPr>
              <w:t>We believe the definition should be less descriptive.  For example, the definition should likely only include the first two sentences and not include the remaining sentences specific to governmental funds, since those funds are specifically defined at a separate element.</w:t>
            </w:r>
          </w:p>
        </w:tc>
      </w:tr>
      <w:tr w:rsidR="005B7602" w:rsidRPr="00812A8E" w14:paraId="5D070678" w14:textId="77777777" w:rsidTr="005B7602">
        <w:trPr>
          <w:trHeight w:val="116"/>
        </w:trPr>
        <w:tc>
          <w:tcPr>
            <w:tcW w:w="632" w:type="pct"/>
          </w:tcPr>
          <w:p w14:paraId="7BE3785C" w14:textId="77777777" w:rsidR="005B7602" w:rsidRPr="00812A8E" w:rsidRDefault="005B7602" w:rsidP="00B37858">
            <w:pPr>
              <w:pStyle w:val="Heading2"/>
              <w:keepNext w:val="0"/>
              <w:rPr>
                <w:rFonts w:ascii="Arial" w:eastAsiaTheme="minorHAnsi" w:hAnsi="Arial" w:cs="Arial"/>
                <w:b w:val="0"/>
                <w:sz w:val="20"/>
                <w:szCs w:val="20"/>
              </w:rPr>
            </w:pPr>
          </w:p>
        </w:tc>
        <w:tc>
          <w:tcPr>
            <w:tcW w:w="4368" w:type="pct"/>
          </w:tcPr>
          <w:p w14:paraId="298B3899" w14:textId="77777777" w:rsidR="005B7602" w:rsidRPr="00812A8E" w:rsidRDefault="005B7602" w:rsidP="00B37858">
            <w:pPr>
              <w:pStyle w:val="Default0"/>
              <w:rPr>
                <w:rFonts w:ascii="Arial" w:eastAsiaTheme="minorHAnsi" w:hAnsi="Arial" w:cs="Arial"/>
                <w:color w:val="auto"/>
                <w:sz w:val="20"/>
                <w:szCs w:val="20"/>
              </w:rPr>
            </w:pPr>
          </w:p>
        </w:tc>
      </w:tr>
      <w:tr w:rsidR="005B7602" w:rsidRPr="00812A8E" w14:paraId="1BC60CCE" w14:textId="77777777" w:rsidTr="005B7602">
        <w:trPr>
          <w:trHeight w:val="116"/>
        </w:trPr>
        <w:tc>
          <w:tcPr>
            <w:tcW w:w="632" w:type="pct"/>
          </w:tcPr>
          <w:p w14:paraId="0A135FD0" w14:textId="3E9B3715" w:rsidR="005B7602" w:rsidRPr="00812A8E" w:rsidRDefault="005B7602" w:rsidP="00B37858">
            <w:pPr>
              <w:pStyle w:val="Heading2"/>
              <w:keepNext w:val="0"/>
              <w:rPr>
                <w:rFonts w:ascii="Arial" w:eastAsiaTheme="minorHAnsi" w:hAnsi="Arial" w:cs="Arial"/>
                <w:b w:val="0"/>
                <w:sz w:val="20"/>
                <w:szCs w:val="20"/>
              </w:rPr>
            </w:pPr>
            <w:r w:rsidRPr="00812A8E">
              <w:rPr>
                <w:rFonts w:ascii="Arial" w:eastAsiaTheme="minorHAnsi" w:hAnsi="Arial" w:cs="Arial"/>
                <w:b w:val="0"/>
                <w:sz w:val="20"/>
                <w:szCs w:val="20"/>
              </w:rPr>
              <w:t>38</w:t>
            </w:r>
          </w:p>
        </w:tc>
        <w:tc>
          <w:tcPr>
            <w:tcW w:w="4368" w:type="pct"/>
          </w:tcPr>
          <w:p w14:paraId="143A4DC4" w14:textId="095E51BC" w:rsidR="005B7602" w:rsidRPr="00812A8E" w:rsidRDefault="005B7602" w:rsidP="00B37858">
            <w:pPr>
              <w:pStyle w:val="Default0"/>
              <w:rPr>
                <w:rFonts w:ascii="Arial" w:eastAsiaTheme="minorHAnsi" w:hAnsi="Arial" w:cs="Arial"/>
                <w:color w:val="auto"/>
                <w:sz w:val="20"/>
                <w:szCs w:val="20"/>
              </w:rPr>
            </w:pPr>
            <w:r w:rsidRPr="00812A8E">
              <w:rPr>
                <w:rFonts w:ascii="Arial" w:eastAsiaTheme="minorHAnsi" w:hAnsi="Arial" w:cs="Arial"/>
                <w:color w:val="auto"/>
                <w:sz w:val="20"/>
                <w:szCs w:val="20"/>
              </w:rPr>
              <w:t>For local governments, commitments normally do not require the approval of the executive branch.</w:t>
            </w:r>
          </w:p>
        </w:tc>
      </w:tr>
      <w:tr w:rsidR="005B7602" w:rsidRPr="00812A8E" w14:paraId="57A7AD8D" w14:textId="77777777" w:rsidTr="005B7602">
        <w:trPr>
          <w:trHeight w:val="116"/>
        </w:trPr>
        <w:tc>
          <w:tcPr>
            <w:tcW w:w="632" w:type="pct"/>
          </w:tcPr>
          <w:p w14:paraId="06B669E1" w14:textId="77777777" w:rsidR="005B7602" w:rsidRPr="00812A8E" w:rsidRDefault="005B7602" w:rsidP="00B37858">
            <w:pPr>
              <w:pStyle w:val="Heading2"/>
              <w:keepNext w:val="0"/>
              <w:rPr>
                <w:rFonts w:ascii="Arial" w:hAnsi="Arial" w:cs="Arial"/>
                <w:b w:val="0"/>
                <w:bCs w:val="0"/>
                <w:sz w:val="20"/>
                <w:szCs w:val="20"/>
              </w:rPr>
            </w:pPr>
          </w:p>
        </w:tc>
        <w:tc>
          <w:tcPr>
            <w:tcW w:w="4368" w:type="pct"/>
          </w:tcPr>
          <w:p w14:paraId="257D6C12" w14:textId="77777777" w:rsidR="005B7602" w:rsidRPr="00812A8E" w:rsidRDefault="005B7602" w:rsidP="00B37858">
            <w:pPr>
              <w:pStyle w:val="Default0"/>
              <w:rPr>
                <w:rFonts w:ascii="Arial" w:eastAsiaTheme="minorHAnsi" w:hAnsi="Arial" w:cs="Arial"/>
                <w:color w:val="auto"/>
                <w:sz w:val="20"/>
                <w:szCs w:val="20"/>
              </w:rPr>
            </w:pPr>
          </w:p>
        </w:tc>
      </w:tr>
      <w:tr w:rsidR="005B7602" w:rsidRPr="00812A8E" w14:paraId="45C38B76" w14:textId="77777777" w:rsidTr="005B7602">
        <w:trPr>
          <w:trHeight w:val="116"/>
        </w:trPr>
        <w:tc>
          <w:tcPr>
            <w:tcW w:w="632" w:type="pct"/>
          </w:tcPr>
          <w:p w14:paraId="0BAC25FD" w14:textId="3366D13A" w:rsidR="005B7602" w:rsidRPr="00812A8E" w:rsidRDefault="005B7602" w:rsidP="00B37858">
            <w:pPr>
              <w:pStyle w:val="Heading2"/>
              <w:keepNext w:val="0"/>
              <w:rPr>
                <w:rFonts w:ascii="Arial" w:hAnsi="Arial" w:cs="Arial"/>
                <w:b w:val="0"/>
                <w:bCs w:val="0"/>
                <w:sz w:val="20"/>
                <w:szCs w:val="20"/>
              </w:rPr>
            </w:pPr>
            <w:r w:rsidRPr="00812A8E">
              <w:rPr>
                <w:rFonts w:ascii="Arial" w:hAnsi="Arial" w:cs="Arial"/>
                <w:b w:val="0"/>
                <w:bCs w:val="0"/>
                <w:sz w:val="20"/>
                <w:szCs w:val="20"/>
              </w:rPr>
              <w:t xml:space="preserve">40 </w:t>
            </w:r>
          </w:p>
        </w:tc>
        <w:tc>
          <w:tcPr>
            <w:tcW w:w="4368" w:type="pct"/>
          </w:tcPr>
          <w:p w14:paraId="5F93D79D" w14:textId="76388EA3" w:rsidR="005B7602" w:rsidRPr="00812A8E" w:rsidRDefault="005B7602" w:rsidP="00B37858">
            <w:pPr>
              <w:pStyle w:val="Default0"/>
              <w:rPr>
                <w:rFonts w:ascii="Arial" w:eastAsiaTheme="minorHAnsi" w:hAnsi="Arial" w:cs="Arial"/>
                <w:color w:val="auto"/>
                <w:sz w:val="20"/>
                <w:szCs w:val="20"/>
              </w:rPr>
            </w:pPr>
            <w:r w:rsidRPr="00812A8E">
              <w:rPr>
                <w:rFonts w:ascii="Arial" w:eastAsiaTheme="minorHAnsi" w:hAnsi="Arial" w:cs="Arial"/>
                <w:color w:val="auto"/>
                <w:sz w:val="20"/>
                <w:szCs w:val="20"/>
              </w:rPr>
              <w:t>It is unclear what is being referenced in this definition.</w:t>
            </w:r>
          </w:p>
        </w:tc>
      </w:tr>
      <w:tr w:rsidR="005B7602" w:rsidRPr="00812A8E" w14:paraId="776784E7" w14:textId="77777777" w:rsidTr="005B7602">
        <w:trPr>
          <w:trHeight w:val="116"/>
        </w:trPr>
        <w:tc>
          <w:tcPr>
            <w:tcW w:w="632" w:type="pct"/>
          </w:tcPr>
          <w:p w14:paraId="1CA0B1D1" w14:textId="77777777" w:rsidR="005B7602" w:rsidRPr="00812A8E" w:rsidRDefault="005B7602" w:rsidP="00B37858">
            <w:pPr>
              <w:pStyle w:val="Heading2"/>
              <w:keepNext w:val="0"/>
              <w:rPr>
                <w:rFonts w:ascii="Arial" w:hAnsi="Arial" w:cs="Arial"/>
                <w:b w:val="0"/>
                <w:bCs w:val="0"/>
                <w:sz w:val="20"/>
                <w:szCs w:val="20"/>
              </w:rPr>
            </w:pPr>
          </w:p>
        </w:tc>
        <w:tc>
          <w:tcPr>
            <w:tcW w:w="4368" w:type="pct"/>
          </w:tcPr>
          <w:p w14:paraId="2FB2BF74" w14:textId="77777777" w:rsidR="005B7602" w:rsidRPr="00812A8E" w:rsidRDefault="005B7602" w:rsidP="00B37858">
            <w:pPr>
              <w:pStyle w:val="Default0"/>
              <w:rPr>
                <w:rFonts w:ascii="Arial" w:eastAsiaTheme="minorHAnsi" w:hAnsi="Arial" w:cs="Arial"/>
                <w:color w:val="auto"/>
                <w:sz w:val="20"/>
                <w:szCs w:val="20"/>
              </w:rPr>
            </w:pPr>
          </w:p>
        </w:tc>
      </w:tr>
      <w:tr w:rsidR="005B7602" w:rsidRPr="00812A8E" w14:paraId="752E6331" w14:textId="77777777" w:rsidTr="005B7602">
        <w:trPr>
          <w:trHeight w:val="116"/>
        </w:trPr>
        <w:tc>
          <w:tcPr>
            <w:tcW w:w="632" w:type="pct"/>
          </w:tcPr>
          <w:p w14:paraId="7F305125" w14:textId="6A5BBA01" w:rsidR="005B7602" w:rsidRPr="00812A8E" w:rsidRDefault="005B7602" w:rsidP="00B37858">
            <w:pPr>
              <w:pStyle w:val="Heading2"/>
              <w:keepNext w:val="0"/>
              <w:rPr>
                <w:rFonts w:ascii="Arial" w:hAnsi="Arial" w:cs="Arial"/>
                <w:b w:val="0"/>
                <w:bCs w:val="0"/>
                <w:sz w:val="20"/>
                <w:szCs w:val="20"/>
              </w:rPr>
            </w:pPr>
            <w:r w:rsidRPr="00812A8E">
              <w:rPr>
                <w:rFonts w:ascii="Arial" w:eastAsiaTheme="minorHAnsi" w:hAnsi="Arial" w:cs="Arial"/>
                <w:b w:val="0"/>
                <w:sz w:val="20"/>
                <w:szCs w:val="20"/>
              </w:rPr>
              <w:t>44</w:t>
            </w:r>
          </w:p>
        </w:tc>
        <w:tc>
          <w:tcPr>
            <w:tcW w:w="4368" w:type="pct"/>
          </w:tcPr>
          <w:p w14:paraId="269D2202" w14:textId="175FFB7B" w:rsidR="005B7602" w:rsidRPr="00812A8E" w:rsidRDefault="005B7602" w:rsidP="00B37858">
            <w:pPr>
              <w:pStyle w:val="Default0"/>
              <w:rPr>
                <w:rFonts w:ascii="Arial" w:eastAsiaTheme="minorHAnsi" w:hAnsi="Arial" w:cs="Arial"/>
                <w:color w:val="auto"/>
                <w:sz w:val="20"/>
                <w:szCs w:val="20"/>
              </w:rPr>
            </w:pPr>
            <w:r w:rsidRPr="00812A8E">
              <w:rPr>
                <w:rFonts w:ascii="Arial" w:eastAsiaTheme="minorHAnsi" w:hAnsi="Arial" w:cs="Arial"/>
                <w:color w:val="auto"/>
                <w:sz w:val="20"/>
                <w:szCs w:val="20"/>
              </w:rPr>
              <w:t>It is unclear if the “current” being reference relates to an asset, liability or an expense?  The definition should be updated to correspond to the element being reference.</w:t>
            </w:r>
          </w:p>
        </w:tc>
      </w:tr>
      <w:tr w:rsidR="005B7602" w:rsidRPr="00812A8E" w14:paraId="51211AC2" w14:textId="77777777" w:rsidTr="005B7602">
        <w:trPr>
          <w:trHeight w:val="116"/>
        </w:trPr>
        <w:tc>
          <w:tcPr>
            <w:tcW w:w="632" w:type="pct"/>
          </w:tcPr>
          <w:p w14:paraId="4CD2A3BE" w14:textId="64939B5B" w:rsidR="005B7602" w:rsidRPr="00812A8E" w:rsidRDefault="005B7602" w:rsidP="00B37858">
            <w:pPr>
              <w:pStyle w:val="Heading2"/>
              <w:keepNext w:val="0"/>
              <w:rPr>
                <w:rFonts w:ascii="Arial" w:eastAsiaTheme="minorHAnsi" w:hAnsi="Arial" w:cs="Arial"/>
                <w:b w:val="0"/>
                <w:sz w:val="20"/>
                <w:szCs w:val="20"/>
              </w:rPr>
            </w:pPr>
          </w:p>
        </w:tc>
        <w:tc>
          <w:tcPr>
            <w:tcW w:w="4368" w:type="pct"/>
          </w:tcPr>
          <w:p w14:paraId="0DB0C277" w14:textId="6BC7FA5B" w:rsidR="005B7602" w:rsidRPr="00812A8E" w:rsidRDefault="005B7602" w:rsidP="00B37858">
            <w:pPr>
              <w:pStyle w:val="Default0"/>
              <w:rPr>
                <w:rFonts w:ascii="Arial" w:eastAsiaTheme="minorHAnsi" w:hAnsi="Arial" w:cs="Arial"/>
                <w:color w:val="auto"/>
                <w:sz w:val="20"/>
                <w:szCs w:val="20"/>
              </w:rPr>
            </w:pPr>
            <w:r w:rsidRPr="00812A8E">
              <w:rPr>
                <w:rFonts w:ascii="Arial" w:eastAsiaTheme="minorHAnsi" w:hAnsi="Arial" w:cs="Arial"/>
                <w:color w:val="auto"/>
                <w:sz w:val="20"/>
                <w:szCs w:val="20"/>
              </w:rPr>
              <w:t xml:space="preserve">Current member is not a Term or Definition used in GASB GAAP accounting.  </w:t>
            </w:r>
          </w:p>
        </w:tc>
      </w:tr>
      <w:tr w:rsidR="005B7602" w:rsidRPr="00812A8E" w14:paraId="4D422024" w14:textId="77777777" w:rsidTr="005B7602">
        <w:trPr>
          <w:trHeight w:val="116"/>
        </w:trPr>
        <w:tc>
          <w:tcPr>
            <w:tcW w:w="632" w:type="pct"/>
          </w:tcPr>
          <w:p w14:paraId="4DB20A25" w14:textId="0DBBF03E" w:rsidR="005B7602" w:rsidRPr="00812A8E" w:rsidRDefault="005B7602" w:rsidP="00B37858">
            <w:pPr>
              <w:pStyle w:val="Heading2"/>
              <w:keepNext w:val="0"/>
              <w:rPr>
                <w:rFonts w:ascii="Arial" w:eastAsiaTheme="minorHAnsi" w:hAnsi="Arial" w:cs="Arial"/>
                <w:b w:val="0"/>
                <w:sz w:val="20"/>
                <w:szCs w:val="20"/>
              </w:rPr>
            </w:pPr>
          </w:p>
        </w:tc>
        <w:tc>
          <w:tcPr>
            <w:tcW w:w="4368" w:type="pct"/>
          </w:tcPr>
          <w:p w14:paraId="15D5FC70" w14:textId="47EC41DF" w:rsidR="005B7602" w:rsidRPr="00812A8E" w:rsidRDefault="005B7602" w:rsidP="00B37858">
            <w:pPr>
              <w:pStyle w:val="Default0"/>
              <w:rPr>
                <w:rFonts w:ascii="Arial" w:eastAsiaTheme="minorHAnsi" w:hAnsi="Arial" w:cs="Arial"/>
                <w:color w:val="auto"/>
                <w:sz w:val="20"/>
                <w:szCs w:val="20"/>
              </w:rPr>
            </w:pPr>
            <w:r w:rsidRPr="00812A8E">
              <w:rPr>
                <w:rFonts w:ascii="Arial" w:eastAsiaTheme="minorHAnsi" w:hAnsi="Arial" w:cs="Arial"/>
                <w:color w:val="auto"/>
                <w:sz w:val="20"/>
                <w:szCs w:val="20"/>
              </w:rPr>
              <w:t xml:space="preserve">We believe the current definition is unclear since it only includes limited language from the applicable GASB Codification paragraph to describe current obligations.  Further, if this element is intended to describe both current assets and liabilities, the definition and Codification reference should be expanded to reflect as such.   </w:t>
            </w:r>
          </w:p>
        </w:tc>
      </w:tr>
      <w:tr w:rsidR="005B7602" w:rsidRPr="00812A8E" w14:paraId="36C9A514" w14:textId="77777777" w:rsidTr="005B7602">
        <w:trPr>
          <w:trHeight w:val="116"/>
        </w:trPr>
        <w:tc>
          <w:tcPr>
            <w:tcW w:w="632" w:type="pct"/>
          </w:tcPr>
          <w:p w14:paraId="0F08E560" w14:textId="77777777" w:rsidR="005B7602" w:rsidRPr="00812A8E" w:rsidRDefault="005B7602" w:rsidP="00B37858">
            <w:pPr>
              <w:pStyle w:val="Heading2"/>
              <w:keepNext w:val="0"/>
              <w:rPr>
                <w:rFonts w:ascii="Arial" w:hAnsi="Arial" w:cs="Arial"/>
                <w:b w:val="0"/>
                <w:bCs w:val="0"/>
                <w:sz w:val="20"/>
                <w:szCs w:val="20"/>
              </w:rPr>
            </w:pPr>
          </w:p>
        </w:tc>
        <w:tc>
          <w:tcPr>
            <w:tcW w:w="4368" w:type="pct"/>
          </w:tcPr>
          <w:p w14:paraId="3541C259" w14:textId="77777777" w:rsidR="005B7602" w:rsidRPr="00812A8E" w:rsidRDefault="005B7602" w:rsidP="00B37858">
            <w:pPr>
              <w:pStyle w:val="Default0"/>
              <w:rPr>
                <w:rFonts w:ascii="Arial" w:eastAsiaTheme="minorHAnsi" w:hAnsi="Arial" w:cs="Arial"/>
                <w:color w:val="auto"/>
                <w:sz w:val="20"/>
                <w:szCs w:val="20"/>
              </w:rPr>
            </w:pPr>
          </w:p>
        </w:tc>
      </w:tr>
      <w:tr w:rsidR="005B7602" w:rsidRPr="00812A8E" w14:paraId="4699B4F3" w14:textId="77777777" w:rsidTr="005B7602">
        <w:trPr>
          <w:trHeight w:val="116"/>
        </w:trPr>
        <w:tc>
          <w:tcPr>
            <w:tcW w:w="632" w:type="pct"/>
          </w:tcPr>
          <w:p w14:paraId="19185672" w14:textId="03111C83" w:rsidR="005B7602" w:rsidRPr="00812A8E" w:rsidRDefault="005B7602" w:rsidP="00B37858">
            <w:pPr>
              <w:pStyle w:val="Heading2"/>
              <w:keepNext w:val="0"/>
              <w:rPr>
                <w:rFonts w:ascii="Arial" w:hAnsi="Arial" w:cs="Arial"/>
                <w:b w:val="0"/>
                <w:bCs w:val="0"/>
                <w:sz w:val="20"/>
                <w:szCs w:val="20"/>
              </w:rPr>
            </w:pPr>
            <w:r w:rsidRPr="00812A8E">
              <w:rPr>
                <w:rFonts w:ascii="Arial" w:hAnsi="Arial" w:cs="Arial"/>
                <w:b w:val="0"/>
                <w:bCs w:val="0"/>
                <w:sz w:val="20"/>
                <w:szCs w:val="20"/>
              </w:rPr>
              <w:t>47</w:t>
            </w:r>
          </w:p>
        </w:tc>
        <w:tc>
          <w:tcPr>
            <w:tcW w:w="4368" w:type="pct"/>
          </w:tcPr>
          <w:p w14:paraId="7FE5919E" w14:textId="77777777" w:rsidR="005B7602" w:rsidRPr="00812A8E" w:rsidRDefault="005B7602" w:rsidP="00B37858">
            <w:pPr>
              <w:pStyle w:val="Default0"/>
              <w:rPr>
                <w:rFonts w:ascii="Arial" w:eastAsiaTheme="minorHAnsi" w:hAnsi="Arial" w:cs="Arial"/>
                <w:color w:val="auto"/>
                <w:sz w:val="20"/>
                <w:szCs w:val="20"/>
              </w:rPr>
            </w:pPr>
            <w:r w:rsidRPr="00812A8E">
              <w:rPr>
                <w:rFonts w:ascii="Arial" w:eastAsiaTheme="minorHAnsi" w:hAnsi="Arial" w:cs="Arial"/>
                <w:color w:val="auto"/>
                <w:sz w:val="20"/>
                <w:szCs w:val="20"/>
              </w:rPr>
              <w:t>Suggest adding the following in column D, Documentation:</w:t>
            </w:r>
          </w:p>
          <w:p w14:paraId="2510483F" w14:textId="77777777" w:rsidR="005B7602" w:rsidRPr="00812A8E" w:rsidRDefault="005B7602" w:rsidP="00B37858">
            <w:pPr>
              <w:pStyle w:val="Default0"/>
              <w:rPr>
                <w:rFonts w:ascii="Arial" w:eastAsiaTheme="minorHAnsi" w:hAnsi="Arial" w:cs="Arial"/>
                <w:color w:val="auto"/>
                <w:sz w:val="20"/>
                <w:szCs w:val="20"/>
              </w:rPr>
            </w:pPr>
          </w:p>
          <w:p w14:paraId="1417CA52" w14:textId="0C73E556" w:rsidR="005B7602" w:rsidRPr="00812A8E" w:rsidRDefault="005B7602" w:rsidP="00B37858">
            <w:pPr>
              <w:pStyle w:val="Default0"/>
              <w:rPr>
                <w:rFonts w:ascii="Arial" w:eastAsiaTheme="minorHAnsi" w:hAnsi="Arial" w:cs="Arial"/>
                <w:color w:val="auto"/>
                <w:sz w:val="20"/>
                <w:szCs w:val="20"/>
              </w:rPr>
            </w:pPr>
            <w:r w:rsidRPr="00812A8E">
              <w:rPr>
                <w:rFonts w:ascii="Arial" w:eastAsiaTheme="minorHAnsi" w:hAnsi="Arial" w:cs="Arial"/>
                <w:color w:val="auto"/>
                <w:sz w:val="20"/>
                <w:szCs w:val="20"/>
              </w:rPr>
              <w:t>Issuance of new debt whose proceeds are used to repay previously issued debt. The proceeds may be used immediately for this purpose (a current refunding), or they may be placed with an escrow agent and invested until they are used to pay principal and interest on the old debt at some later date (an advance refunding).</w:t>
            </w:r>
          </w:p>
          <w:p w14:paraId="0BF2029E" w14:textId="77777777" w:rsidR="005B7602" w:rsidRPr="00812A8E" w:rsidRDefault="005B7602" w:rsidP="00B37858">
            <w:pPr>
              <w:pStyle w:val="Default0"/>
              <w:rPr>
                <w:rFonts w:ascii="Arial" w:eastAsiaTheme="minorHAnsi" w:hAnsi="Arial" w:cs="Arial"/>
                <w:color w:val="auto"/>
                <w:sz w:val="20"/>
                <w:szCs w:val="20"/>
              </w:rPr>
            </w:pPr>
          </w:p>
          <w:p w14:paraId="6FB962DC" w14:textId="77777777" w:rsidR="005B7602" w:rsidRPr="00812A8E" w:rsidRDefault="005B7602" w:rsidP="00B37858">
            <w:pPr>
              <w:pStyle w:val="Default0"/>
              <w:rPr>
                <w:rFonts w:ascii="Arial" w:eastAsiaTheme="minorHAnsi" w:hAnsi="Arial" w:cs="Arial"/>
                <w:color w:val="auto"/>
                <w:sz w:val="20"/>
                <w:szCs w:val="20"/>
              </w:rPr>
            </w:pPr>
            <w:r w:rsidRPr="00812A8E">
              <w:rPr>
                <w:rFonts w:ascii="Arial" w:eastAsiaTheme="minorHAnsi" w:hAnsi="Arial" w:cs="Arial"/>
                <w:color w:val="auto"/>
                <w:sz w:val="20"/>
                <w:szCs w:val="20"/>
              </w:rPr>
              <w:t>Suggest adding reference:</w:t>
            </w:r>
          </w:p>
          <w:p w14:paraId="36127F2B" w14:textId="77777777" w:rsidR="005B7602" w:rsidRPr="00812A8E" w:rsidRDefault="005B7602" w:rsidP="00B37858">
            <w:pPr>
              <w:pStyle w:val="Default0"/>
              <w:rPr>
                <w:rFonts w:ascii="Arial" w:eastAsiaTheme="minorHAnsi" w:hAnsi="Arial" w:cs="Arial"/>
                <w:color w:val="auto"/>
                <w:sz w:val="20"/>
                <w:szCs w:val="20"/>
              </w:rPr>
            </w:pPr>
          </w:p>
          <w:p w14:paraId="7EA5682A" w14:textId="77777777" w:rsidR="005B7602" w:rsidRPr="00812A8E" w:rsidRDefault="005B7602" w:rsidP="00B37858">
            <w:pPr>
              <w:pStyle w:val="Default0"/>
              <w:rPr>
                <w:rFonts w:ascii="Arial" w:eastAsiaTheme="minorHAnsi" w:hAnsi="Arial" w:cs="Arial"/>
                <w:color w:val="auto"/>
                <w:sz w:val="20"/>
                <w:szCs w:val="20"/>
              </w:rPr>
            </w:pPr>
            <w:r w:rsidRPr="00812A8E">
              <w:rPr>
                <w:rFonts w:ascii="Arial" w:eastAsiaTheme="minorHAnsi" w:hAnsi="Arial" w:cs="Arial"/>
                <w:color w:val="auto"/>
                <w:sz w:val="20"/>
                <w:szCs w:val="20"/>
              </w:rPr>
              <w:t>Stephen J. Gauthier, Governmental Accounting, Auditing, and Financial Reporting, GFOA, 2014.</w:t>
            </w:r>
          </w:p>
          <w:p w14:paraId="35F9AE1F" w14:textId="2A9A0167" w:rsidR="005B7602" w:rsidRPr="00812A8E" w:rsidRDefault="005B7602" w:rsidP="00B37858">
            <w:pPr>
              <w:pStyle w:val="Default0"/>
              <w:rPr>
                <w:rFonts w:ascii="Arial" w:eastAsiaTheme="minorHAnsi" w:hAnsi="Arial" w:cs="Arial"/>
                <w:color w:val="auto"/>
                <w:sz w:val="20"/>
                <w:szCs w:val="20"/>
              </w:rPr>
            </w:pPr>
            <w:r w:rsidRPr="00812A8E">
              <w:rPr>
                <w:rFonts w:ascii="Arial" w:eastAsiaTheme="minorHAnsi" w:hAnsi="Arial" w:cs="Arial"/>
                <w:color w:val="auto"/>
                <w:sz w:val="20"/>
                <w:szCs w:val="20"/>
              </w:rPr>
              <w:t>Appendix G</w:t>
            </w:r>
          </w:p>
        </w:tc>
      </w:tr>
      <w:tr w:rsidR="005B7602" w:rsidRPr="00812A8E" w14:paraId="04021DC4" w14:textId="77777777" w:rsidTr="005B7602">
        <w:trPr>
          <w:trHeight w:val="116"/>
        </w:trPr>
        <w:tc>
          <w:tcPr>
            <w:tcW w:w="632" w:type="pct"/>
          </w:tcPr>
          <w:p w14:paraId="08BE3299" w14:textId="77777777" w:rsidR="005B7602" w:rsidRPr="00812A8E" w:rsidRDefault="005B7602" w:rsidP="00B37858">
            <w:pPr>
              <w:pStyle w:val="Heading2"/>
              <w:keepNext w:val="0"/>
              <w:rPr>
                <w:rFonts w:ascii="Arial" w:hAnsi="Arial" w:cs="Arial"/>
                <w:b w:val="0"/>
                <w:bCs w:val="0"/>
                <w:sz w:val="20"/>
                <w:szCs w:val="20"/>
              </w:rPr>
            </w:pPr>
          </w:p>
        </w:tc>
        <w:tc>
          <w:tcPr>
            <w:tcW w:w="4368" w:type="pct"/>
          </w:tcPr>
          <w:p w14:paraId="57DAE7F9" w14:textId="77777777" w:rsidR="005B7602" w:rsidRPr="00812A8E" w:rsidRDefault="005B7602" w:rsidP="00B37858">
            <w:pPr>
              <w:pStyle w:val="Default0"/>
              <w:rPr>
                <w:rFonts w:ascii="Arial" w:eastAsiaTheme="minorHAnsi" w:hAnsi="Arial" w:cs="Arial"/>
                <w:color w:val="auto"/>
                <w:sz w:val="20"/>
                <w:szCs w:val="20"/>
              </w:rPr>
            </w:pPr>
          </w:p>
        </w:tc>
      </w:tr>
      <w:tr w:rsidR="005B7602" w:rsidRPr="00812A8E" w14:paraId="37399B66" w14:textId="77777777" w:rsidTr="005B7602">
        <w:trPr>
          <w:trHeight w:val="458"/>
        </w:trPr>
        <w:tc>
          <w:tcPr>
            <w:tcW w:w="632" w:type="pct"/>
          </w:tcPr>
          <w:p w14:paraId="70CEB473" w14:textId="5EA7AC87" w:rsidR="005B7602" w:rsidRPr="00812A8E" w:rsidRDefault="005B7602" w:rsidP="00B37858">
            <w:pPr>
              <w:pStyle w:val="Heading2"/>
              <w:keepNext w:val="0"/>
              <w:rPr>
                <w:rFonts w:ascii="Arial" w:hAnsi="Arial" w:cs="Arial"/>
                <w:b w:val="0"/>
                <w:bCs w:val="0"/>
                <w:sz w:val="20"/>
                <w:szCs w:val="20"/>
              </w:rPr>
            </w:pPr>
            <w:r w:rsidRPr="00812A8E">
              <w:rPr>
                <w:rFonts w:ascii="Arial" w:hAnsi="Arial" w:cs="Arial"/>
                <w:b w:val="0"/>
                <w:bCs w:val="0"/>
                <w:sz w:val="20"/>
                <w:szCs w:val="20"/>
              </w:rPr>
              <w:t>48</w:t>
            </w:r>
          </w:p>
        </w:tc>
        <w:tc>
          <w:tcPr>
            <w:tcW w:w="4368" w:type="pct"/>
          </w:tcPr>
          <w:p w14:paraId="670EA0BF" w14:textId="6279DA1A" w:rsidR="005B7602" w:rsidRPr="00812A8E" w:rsidRDefault="005B7602" w:rsidP="00B37858">
            <w:pPr>
              <w:spacing w:after="120"/>
              <w:jc w:val="both"/>
              <w:rPr>
                <w:rFonts w:ascii="Arial" w:hAnsi="Arial" w:cs="Arial"/>
                <w:color w:val="000000" w:themeColor="text1"/>
                <w:sz w:val="20"/>
                <w:szCs w:val="20"/>
              </w:rPr>
            </w:pPr>
            <w:r w:rsidRPr="00812A8E">
              <w:rPr>
                <w:rFonts w:ascii="Arial" w:hAnsi="Arial" w:cs="Arial"/>
                <w:color w:val="000000" w:themeColor="text1"/>
                <w:sz w:val="20"/>
                <w:szCs w:val="20"/>
              </w:rPr>
              <w:t>It is unclear if this member is intended to be a line item or fund type.  If it is intended to be a line item, the definition needs updated. It is also not clear what the difference is from Concept 49.</w:t>
            </w:r>
          </w:p>
        </w:tc>
      </w:tr>
      <w:tr w:rsidR="005B7602" w:rsidRPr="00812A8E" w14:paraId="1CD71FD9" w14:textId="77777777" w:rsidTr="005B7602">
        <w:trPr>
          <w:trHeight w:val="647"/>
        </w:trPr>
        <w:tc>
          <w:tcPr>
            <w:tcW w:w="632" w:type="pct"/>
          </w:tcPr>
          <w:p w14:paraId="2BAA9A05" w14:textId="7DFC2980" w:rsidR="005B7602" w:rsidRPr="00812A8E" w:rsidRDefault="005B7602" w:rsidP="00B37858">
            <w:pPr>
              <w:pStyle w:val="Heading2"/>
              <w:keepNext w:val="0"/>
              <w:rPr>
                <w:rFonts w:ascii="Arial" w:hAnsi="Arial" w:cs="Arial"/>
                <w:b w:val="0"/>
                <w:bCs w:val="0"/>
                <w:sz w:val="20"/>
                <w:szCs w:val="20"/>
              </w:rPr>
            </w:pPr>
          </w:p>
        </w:tc>
        <w:tc>
          <w:tcPr>
            <w:tcW w:w="4368" w:type="pct"/>
          </w:tcPr>
          <w:p w14:paraId="16D8F90D" w14:textId="2F6B6D7D" w:rsidR="005B7602" w:rsidRPr="00812A8E" w:rsidRDefault="005B7602" w:rsidP="00B37858">
            <w:pPr>
              <w:spacing w:after="120"/>
              <w:jc w:val="both"/>
              <w:rPr>
                <w:rFonts w:ascii="Arial" w:hAnsi="Arial" w:cs="Arial"/>
                <w:color w:val="000000" w:themeColor="text1"/>
                <w:sz w:val="20"/>
                <w:szCs w:val="20"/>
              </w:rPr>
            </w:pPr>
            <w:r w:rsidRPr="00812A8E">
              <w:rPr>
                <w:rFonts w:ascii="Arial" w:hAnsi="Arial" w:cs="Arial"/>
                <w:color w:val="000000" w:themeColor="text1"/>
                <w:sz w:val="20"/>
                <w:szCs w:val="20"/>
              </w:rPr>
              <w:t>Member?  This description appears to be describing a Debt Service Sinking Fund.  There are also debt service funds that are not established for legal purposes, but rather as a simple matter of paying debt principal and interest.</w:t>
            </w:r>
          </w:p>
        </w:tc>
      </w:tr>
      <w:tr w:rsidR="005B7602" w:rsidRPr="00812A8E" w14:paraId="7AD801FF" w14:textId="77777777" w:rsidTr="005B7602">
        <w:trPr>
          <w:trHeight w:val="116"/>
        </w:trPr>
        <w:tc>
          <w:tcPr>
            <w:tcW w:w="632" w:type="pct"/>
          </w:tcPr>
          <w:p w14:paraId="68DABA7E" w14:textId="77777777" w:rsidR="005B7602" w:rsidRPr="00812A8E" w:rsidRDefault="005B7602" w:rsidP="00B37858">
            <w:pPr>
              <w:pStyle w:val="Heading2"/>
              <w:keepNext w:val="0"/>
              <w:rPr>
                <w:rFonts w:ascii="Arial" w:hAnsi="Arial" w:cs="Arial"/>
                <w:b w:val="0"/>
                <w:bCs w:val="0"/>
                <w:sz w:val="20"/>
                <w:szCs w:val="20"/>
              </w:rPr>
            </w:pPr>
          </w:p>
        </w:tc>
        <w:tc>
          <w:tcPr>
            <w:tcW w:w="4368" w:type="pct"/>
          </w:tcPr>
          <w:p w14:paraId="43C86BAF" w14:textId="77777777" w:rsidR="005B7602" w:rsidRPr="00812A8E" w:rsidRDefault="005B7602" w:rsidP="00B37858">
            <w:pPr>
              <w:pStyle w:val="Default0"/>
              <w:rPr>
                <w:rFonts w:ascii="Arial" w:eastAsiaTheme="minorHAnsi" w:hAnsi="Arial" w:cs="Arial"/>
                <w:color w:val="auto"/>
                <w:sz w:val="20"/>
                <w:szCs w:val="20"/>
              </w:rPr>
            </w:pPr>
          </w:p>
        </w:tc>
      </w:tr>
      <w:tr w:rsidR="005B7602" w:rsidRPr="00812A8E" w14:paraId="1DD845EC" w14:textId="77777777" w:rsidTr="005B7602">
        <w:trPr>
          <w:trHeight w:val="1124"/>
        </w:trPr>
        <w:tc>
          <w:tcPr>
            <w:tcW w:w="632" w:type="pct"/>
          </w:tcPr>
          <w:p w14:paraId="5AC97C41" w14:textId="0F41F23B" w:rsidR="005B7602" w:rsidRPr="00812A8E" w:rsidRDefault="005B7602" w:rsidP="00B37858">
            <w:pPr>
              <w:pStyle w:val="Heading2"/>
              <w:keepNext w:val="0"/>
              <w:rPr>
                <w:rFonts w:ascii="Arial" w:hAnsi="Arial" w:cs="Arial"/>
                <w:b w:val="0"/>
                <w:bCs w:val="0"/>
                <w:sz w:val="20"/>
                <w:szCs w:val="20"/>
              </w:rPr>
            </w:pPr>
            <w:r w:rsidRPr="00812A8E">
              <w:rPr>
                <w:rFonts w:ascii="Arial" w:hAnsi="Arial" w:cs="Arial"/>
                <w:b w:val="0"/>
                <w:bCs w:val="0"/>
                <w:sz w:val="20"/>
                <w:szCs w:val="20"/>
              </w:rPr>
              <w:t>48, 49</w:t>
            </w:r>
          </w:p>
        </w:tc>
        <w:tc>
          <w:tcPr>
            <w:tcW w:w="4368" w:type="pct"/>
          </w:tcPr>
          <w:p w14:paraId="5A6CDFF3" w14:textId="47EDEBBA" w:rsidR="005B7602" w:rsidRPr="00812A8E" w:rsidRDefault="005B7602" w:rsidP="00B37858">
            <w:pPr>
              <w:spacing w:after="120"/>
              <w:jc w:val="both"/>
              <w:rPr>
                <w:rFonts w:ascii="Arial" w:hAnsi="Arial" w:cs="Arial"/>
                <w:color w:val="000000" w:themeColor="text1"/>
                <w:sz w:val="20"/>
                <w:szCs w:val="20"/>
              </w:rPr>
            </w:pPr>
            <w:r w:rsidRPr="00812A8E">
              <w:rPr>
                <w:rFonts w:ascii="Arial" w:hAnsi="Arial" w:cs="Arial"/>
                <w:color w:val="000000" w:themeColor="text1"/>
                <w:sz w:val="20"/>
                <w:szCs w:val="20"/>
              </w:rPr>
              <w:t>These elements appear to be duplicative, with the only difference in the terminology “fund.”  Further, the definition for number 49 is not complete; it is missing the last part of the applicable GASB Codification definition, which states “rather than a debt service fund to reflect the fact that the government’s duties are limited to acting as an agent for the assessed property owners and the bondholders.”</w:t>
            </w:r>
          </w:p>
        </w:tc>
      </w:tr>
      <w:tr w:rsidR="005B7602" w:rsidRPr="00812A8E" w14:paraId="7E492C31" w14:textId="77777777" w:rsidTr="005B7602">
        <w:trPr>
          <w:trHeight w:val="116"/>
        </w:trPr>
        <w:tc>
          <w:tcPr>
            <w:tcW w:w="632" w:type="pct"/>
          </w:tcPr>
          <w:p w14:paraId="66FF73DB" w14:textId="77777777" w:rsidR="005B7602" w:rsidRPr="00812A8E" w:rsidRDefault="005B7602" w:rsidP="00B37858">
            <w:pPr>
              <w:pStyle w:val="Heading2"/>
              <w:keepNext w:val="0"/>
              <w:rPr>
                <w:rFonts w:ascii="Arial" w:hAnsi="Arial" w:cs="Arial"/>
                <w:b w:val="0"/>
                <w:bCs w:val="0"/>
                <w:sz w:val="20"/>
                <w:szCs w:val="20"/>
              </w:rPr>
            </w:pPr>
          </w:p>
        </w:tc>
        <w:tc>
          <w:tcPr>
            <w:tcW w:w="4368" w:type="pct"/>
          </w:tcPr>
          <w:p w14:paraId="0B029CE1" w14:textId="77777777" w:rsidR="005B7602" w:rsidRPr="00812A8E" w:rsidRDefault="005B7602" w:rsidP="00B37858">
            <w:pPr>
              <w:pStyle w:val="Default0"/>
              <w:rPr>
                <w:rFonts w:ascii="Arial" w:eastAsiaTheme="minorHAnsi" w:hAnsi="Arial" w:cs="Arial"/>
                <w:color w:val="auto"/>
                <w:sz w:val="20"/>
                <w:szCs w:val="20"/>
              </w:rPr>
            </w:pPr>
          </w:p>
        </w:tc>
      </w:tr>
      <w:tr w:rsidR="005B7602" w:rsidRPr="00812A8E" w14:paraId="4E3B1978" w14:textId="77777777" w:rsidTr="005B7602">
        <w:trPr>
          <w:trHeight w:val="116"/>
        </w:trPr>
        <w:tc>
          <w:tcPr>
            <w:tcW w:w="632" w:type="pct"/>
          </w:tcPr>
          <w:p w14:paraId="045A0D4C" w14:textId="5F8A6014" w:rsidR="005B7602" w:rsidRPr="00812A8E" w:rsidRDefault="005B7602" w:rsidP="00B37858">
            <w:pPr>
              <w:pStyle w:val="Heading2"/>
              <w:keepNext w:val="0"/>
              <w:rPr>
                <w:rFonts w:ascii="Arial" w:hAnsi="Arial" w:cs="Arial"/>
                <w:b w:val="0"/>
                <w:bCs w:val="0"/>
                <w:sz w:val="20"/>
                <w:szCs w:val="20"/>
              </w:rPr>
            </w:pPr>
            <w:r w:rsidRPr="00812A8E">
              <w:rPr>
                <w:rFonts w:ascii="Arial" w:hAnsi="Arial" w:cs="Arial"/>
                <w:b w:val="0"/>
                <w:bCs w:val="0"/>
                <w:sz w:val="20"/>
                <w:szCs w:val="20"/>
              </w:rPr>
              <w:t>49</w:t>
            </w:r>
          </w:p>
        </w:tc>
        <w:tc>
          <w:tcPr>
            <w:tcW w:w="4368" w:type="pct"/>
          </w:tcPr>
          <w:p w14:paraId="22450E1C" w14:textId="61827E14" w:rsidR="005B7602" w:rsidRPr="00812A8E" w:rsidRDefault="005B7602" w:rsidP="00B37858">
            <w:pPr>
              <w:pStyle w:val="Default0"/>
              <w:rPr>
                <w:rFonts w:ascii="Arial" w:eastAsiaTheme="minorHAnsi" w:hAnsi="Arial" w:cs="Arial"/>
                <w:color w:val="auto"/>
                <w:sz w:val="20"/>
                <w:szCs w:val="20"/>
              </w:rPr>
            </w:pPr>
            <w:r w:rsidRPr="00812A8E">
              <w:rPr>
                <w:rFonts w:ascii="Arial" w:eastAsiaTheme="minorHAnsi" w:hAnsi="Arial" w:cs="Arial"/>
                <w:color w:val="auto"/>
                <w:sz w:val="20"/>
                <w:szCs w:val="20"/>
              </w:rPr>
              <w:t>Member?  This description appears to be describing a Debt Service Sinking Fund.  There are also debt service funds that are not established for legal purposes, but rather as a simple matter of paying debt principal and interest.</w:t>
            </w:r>
          </w:p>
        </w:tc>
      </w:tr>
      <w:tr w:rsidR="005B7602" w:rsidRPr="00812A8E" w14:paraId="20963A0C" w14:textId="77777777" w:rsidTr="005B7602">
        <w:trPr>
          <w:trHeight w:val="116"/>
        </w:trPr>
        <w:tc>
          <w:tcPr>
            <w:tcW w:w="632" w:type="pct"/>
          </w:tcPr>
          <w:p w14:paraId="2E5CC7EB" w14:textId="77777777" w:rsidR="005B7602" w:rsidRPr="00812A8E" w:rsidRDefault="005B7602" w:rsidP="00B37858">
            <w:pPr>
              <w:pStyle w:val="Heading2"/>
              <w:keepNext w:val="0"/>
              <w:rPr>
                <w:rFonts w:ascii="Arial" w:hAnsi="Arial" w:cs="Arial"/>
                <w:b w:val="0"/>
                <w:bCs w:val="0"/>
                <w:sz w:val="20"/>
                <w:szCs w:val="20"/>
              </w:rPr>
            </w:pPr>
            <w:bookmarkStart w:id="0" w:name="_Hlk3882464"/>
          </w:p>
        </w:tc>
        <w:tc>
          <w:tcPr>
            <w:tcW w:w="4368" w:type="pct"/>
          </w:tcPr>
          <w:p w14:paraId="7AB22DDC" w14:textId="77777777" w:rsidR="005B7602" w:rsidRPr="00812A8E" w:rsidRDefault="005B7602" w:rsidP="00B37858">
            <w:pPr>
              <w:pStyle w:val="Default0"/>
              <w:rPr>
                <w:rFonts w:ascii="Arial" w:eastAsiaTheme="minorHAnsi" w:hAnsi="Arial" w:cs="Arial"/>
                <w:color w:val="auto"/>
                <w:sz w:val="20"/>
                <w:szCs w:val="20"/>
              </w:rPr>
            </w:pPr>
          </w:p>
        </w:tc>
      </w:tr>
      <w:bookmarkEnd w:id="0"/>
      <w:tr w:rsidR="005B7602" w:rsidRPr="00812A8E" w14:paraId="360B49CD" w14:textId="77777777" w:rsidTr="005B7602">
        <w:trPr>
          <w:trHeight w:val="116"/>
        </w:trPr>
        <w:tc>
          <w:tcPr>
            <w:tcW w:w="632" w:type="pct"/>
          </w:tcPr>
          <w:p w14:paraId="272A3587" w14:textId="2C688917" w:rsidR="005B7602" w:rsidRPr="00812A8E" w:rsidRDefault="005B7602" w:rsidP="00B37858">
            <w:pPr>
              <w:pStyle w:val="Heading2"/>
              <w:keepNext w:val="0"/>
              <w:rPr>
                <w:rFonts w:ascii="Arial" w:hAnsi="Arial" w:cs="Arial"/>
                <w:b w:val="0"/>
                <w:bCs w:val="0"/>
                <w:sz w:val="20"/>
                <w:szCs w:val="20"/>
              </w:rPr>
            </w:pPr>
            <w:r w:rsidRPr="00812A8E">
              <w:rPr>
                <w:rFonts w:ascii="Arial" w:hAnsi="Arial" w:cs="Arial"/>
                <w:b w:val="0"/>
                <w:bCs w:val="0"/>
                <w:sz w:val="20"/>
                <w:szCs w:val="20"/>
              </w:rPr>
              <w:t>55</w:t>
            </w:r>
          </w:p>
        </w:tc>
        <w:tc>
          <w:tcPr>
            <w:tcW w:w="4368" w:type="pct"/>
          </w:tcPr>
          <w:p w14:paraId="06DB4C12" w14:textId="77777777" w:rsidR="005B7602" w:rsidRPr="00812A8E" w:rsidRDefault="005B7602" w:rsidP="00B37858">
            <w:pPr>
              <w:pStyle w:val="Default0"/>
              <w:rPr>
                <w:rFonts w:ascii="Arial" w:eastAsiaTheme="minorHAnsi" w:hAnsi="Arial" w:cs="Arial"/>
                <w:color w:val="auto"/>
                <w:sz w:val="20"/>
                <w:szCs w:val="20"/>
              </w:rPr>
            </w:pPr>
            <w:r w:rsidRPr="00812A8E">
              <w:rPr>
                <w:rFonts w:ascii="Arial" w:eastAsiaTheme="minorHAnsi" w:hAnsi="Arial" w:cs="Arial"/>
                <w:color w:val="auto"/>
                <w:sz w:val="20"/>
                <w:szCs w:val="20"/>
              </w:rPr>
              <w:t>Suggest adding the following in column D, Documentation:</w:t>
            </w:r>
          </w:p>
          <w:p w14:paraId="260211AD" w14:textId="77777777" w:rsidR="005B7602" w:rsidRPr="00812A8E" w:rsidRDefault="005B7602" w:rsidP="00B37858">
            <w:pPr>
              <w:pStyle w:val="Default0"/>
              <w:rPr>
                <w:rFonts w:ascii="Arial" w:eastAsiaTheme="minorHAnsi" w:hAnsi="Arial" w:cs="Arial"/>
                <w:color w:val="auto"/>
                <w:sz w:val="20"/>
                <w:szCs w:val="20"/>
              </w:rPr>
            </w:pPr>
          </w:p>
          <w:p w14:paraId="455D892A" w14:textId="03E6883B" w:rsidR="005B7602" w:rsidRPr="00812A8E" w:rsidRDefault="005B7602" w:rsidP="00B37858">
            <w:pPr>
              <w:pStyle w:val="Default0"/>
              <w:rPr>
                <w:rFonts w:ascii="Arial" w:eastAsiaTheme="minorHAnsi" w:hAnsi="Arial" w:cs="Arial"/>
                <w:color w:val="auto"/>
                <w:sz w:val="20"/>
                <w:szCs w:val="20"/>
              </w:rPr>
            </w:pPr>
            <w:r w:rsidRPr="00812A8E">
              <w:rPr>
                <w:rFonts w:ascii="Arial" w:eastAsiaTheme="minorHAnsi" w:hAnsi="Arial" w:cs="Arial"/>
                <w:color w:val="auto"/>
                <w:sz w:val="20"/>
                <w:szCs w:val="20"/>
              </w:rPr>
              <w:t xml:space="preserve">An arrangement to receive or make payments based on prices related to a specified transaction without </w:t>
            </w:r>
            <w:proofErr w:type="gramStart"/>
            <w:r w:rsidRPr="00812A8E">
              <w:rPr>
                <w:rFonts w:ascii="Arial" w:eastAsiaTheme="minorHAnsi" w:hAnsi="Arial" w:cs="Arial"/>
                <w:color w:val="auto"/>
                <w:sz w:val="20"/>
                <w:szCs w:val="20"/>
              </w:rPr>
              <w:t>actually entering</w:t>
            </w:r>
            <w:proofErr w:type="gramEnd"/>
            <w:r w:rsidRPr="00812A8E">
              <w:rPr>
                <w:rFonts w:ascii="Arial" w:eastAsiaTheme="minorHAnsi" w:hAnsi="Arial" w:cs="Arial"/>
                <w:color w:val="auto"/>
                <w:sz w:val="20"/>
                <w:szCs w:val="20"/>
              </w:rPr>
              <w:t xml:space="preserve"> into that transaction.</w:t>
            </w:r>
          </w:p>
          <w:p w14:paraId="3E04F322" w14:textId="77777777" w:rsidR="005B7602" w:rsidRPr="00812A8E" w:rsidRDefault="005B7602" w:rsidP="00B37858">
            <w:pPr>
              <w:pStyle w:val="Default0"/>
              <w:rPr>
                <w:rFonts w:ascii="Arial" w:eastAsiaTheme="minorHAnsi" w:hAnsi="Arial" w:cs="Arial"/>
                <w:color w:val="auto"/>
                <w:sz w:val="20"/>
                <w:szCs w:val="20"/>
              </w:rPr>
            </w:pPr>
          </w:p>
          <w:p w14:paraId="3063E00F" w14:textId="77777777" w:rsidR="005B7602" w:rsidRPr="00812A8E" w:rsidRDefault="005B7602" w:rsidP="00B37858">
            <w:pPr>
              <w:pStyle w:val="Default0"/>
              <w:rPr>
                <w:rFonts w:ascii="Arial" w:eastAsiaTheme="minorHAnsi" w:hAnsi="Arial" w:cs="Arial"/>
                <w:color w:val="auto"/>
                <w:sz w:val="20"/>
                <w:szCs w:val="20"/>
              </w:rPr>
            </w:pPr>
            <w:r w:rsidRPr="00812A8E">
              <w:rPr>
                <w:rFonts w:ascii="Arial" w:eastAsiaTheme="minorHAnsi" w:hAnsi="Arial" w:cs="Arial"/>
                <w:color w:val="auto"/>
                <w:sz w:val="20"/>
                <w:szCs w:val="20"/>
              </w:rPr>
              <w:t>Suggest adding reference:</w:t>
            </w:r>
          </w:p>
          <w:p w14:paraId="02976416" w14:textId="77777777" w:rsidR="005B7602" w:rsidRPr="00812A8E" w:rsidRDefault="005B7602" w:rsidP="00B37858">
            <w:pPr>
              <w:pStyle w:val="Default0"/>
              <w:rPr>
                <w:rFonts w:ascii="Arial" w:eastAsiaTheme="minorHAnsi" w:hAnsi="Arial" w:cs="Arial"/>
                <w:color w:val="auto"/>
                <w:sz w:val="20"/>
                <w:szCs w:val="20"/>
              </w:rPr>
            </w:pPr>
          </w:p>
          <w:p w14:paraId="04E76228" w14:textId="77777777" w:rsidR="005B7602" w:rsidRPr="00812A8E" w:rsidRDefault="005B7602" w:rsidP="00B37858">
            <w:pPr>
              <w:pStyle w:val="Default0"/>
              <w:rPr>
                <w:rFonts w:ascii="Arial" w:eastAsiaTheme="minorHAnsi" w:hAnsi="Arial" w:cs="Arial"/>
                <w:color w:val="auto"/>
                <w:sz w:val="20"/>
                <w:szCs w:val="20"/>
              </w:rPr>
            </w:pPr>
            <w:r w:rsidRPr="00812A8E">
              <w:rPr>
                <w:rFonts w:ascii="Arial" w:eastAsiaTheme="minorHAnsi" w:hAnsi="Arial" w:cs="Arial"/>
                <w:color w:val="auto"/>
                <w:sz w:val="20"/>
                <w:szCs w:val="20"/>
              </w:rPr>
              <w:t>Stephen J. Gauthier, Governmental Accounting, Auditing, and Financial Reporting, GFOA, 2014.</w:t>
            </w:r>
          </w:p>
          <w:p w14:paraId="4E0BCED9" w14:textId="3BAD5AEC" w:rsidR="005B7602" w:rsidRPr="00812A8E" w:rsidRDefault="005B7602" w:rsidP="00B37858">
            <w:pPr>
              <w:pStyle w:val="Default0"/>
              <w:rPr>
                <w:rFonts w:ascii="Arial" w:eastAsiaTheme="minorHAnsi" w:hAnsi="Arial" w:cs="Arial"/>
                <w:color w:val="auto"/>
                <w:sz w:val="20"/>
                <w:szCs w:val="20"/>
              </w:rPr>
            </w:pPr>
            <w:r w:rsidRPr="00812A8E">
              <w:rPr>
                <w:rFonts w:ascii="Arial" w:eastAsiaTheme="minorHAnsi" w:hAnsi="Arial" w:cs="Arial"/>
                <w:color w:val="auto"/>
                <w:sz w:val="20"/>
                <w:szCs w:val="20"/>
              </w:rPr>
              <w:t>Appendix G</w:t>
            </w:r>
          </w:p>
        </w:tc>
      </w:tr>
      <w:tr w:rsidR="005B7602" w:rsidRPr="00812A8E" w14:paraId="10E057A4" w14:textId="77777777" w:rsidTr="005B7602">
        <w:trPr>
          <w:trHeight w:val="116"/>
        </w:trPr>
        <w:tc>
          <w:tcPr>
            <w:tcW w:w="632" w:type="pct"/>
          </w:tcPr>
          <w:p w14:paraId="79421FD5" w14:textId="77777777" w:rsidR="005B7602" w:rsidRPr="00812A8E" w:rsidRDefault="005B7602" w:rsidP="00B37858">
            <w:pPr>
              <w:pStyle w:val="Heading2"/>
              <w:keepNext w:val="0"/>
              <w:rPr>
                <w:rFonts w:ascii="Arial" w:hAnsi="Arial" w:cs="Arial"/>
                <w:b w:val="0"/>
                <w:bCs w:val="0"/>
                <w:sz w:val="20"/>
                <w:szCs w:val="20"/>
              </w:rPr>
            </w:pPr>
          </w:p>
        </w:tc>
        <w:tc>
          <w:tcPr>
            <w:tcW w:w="4368" w:type="pct"/>
          </w:tcPr>
          <w:p w14:paraId="4BA8415D" w14:textId="77777777" w:rsidR="005B7602" w:rsidRPr="00812A8E" w:rsidRDefault="005B7602" w:rsidP="00B37858">
            <w:pPr>
              <w:pStyle w:val="Default0"/>
              <w:rPr>
                <w:rFonts w:ascii="Arial" w:eastAsiaTheme="minorHAnsi" w:hAnsi="Arial" w:cs="Arial"/>
                <w:color w:val="auto"/>
                <w:sz w:val="20"/>
                <w:szCs w:val="20"/>
              </w:rPr>
            </w:pPr>
          </w:p>
        </w:tc>
      </w:tr>
      <w:tr w:rsidR="005B7602" w:rsidRPr="00812A8E" w14:paraId="2CB0E7E6" w14:textId="77777777" w:rsidTr="005B7602">
        <w:trPr>
          <w:trHeight w:val="116"/>
        </w:trPr>
        <w:tc>
          <w:tcPr>
            <w:tcW w:w="632" w:type="pct"/>
          </w:tcPr>
          <w:p w14:paraId="140650D2" w14:textId="09C03784" w:rsidR="005B7602" w:rsidRPr="00812A8E" w:rsidRDefault="005B7602" w:rsidP="00B37858">
            <w:pPr>
              <w:pStyle w:val="Heading2"/>
              <w:keepNext w:val="0"/>
              <w:rPr>
                <w:rFonts w:ascii="Arial" w:hAnsi="Arial" w:cs="Arial"/>
                <w:b w:val="0"/>
                <w:bCs w:val="0"/>
                <w:sz w:val="20"/>
                <w:szCs w:val="20"/>
              </w:rPr>
            </w:pPr>
            <w:r w:rsidRPr="00812A8E">
              <w:rPr>
                <w:rFonts w:ascii="Arial" w:hAnsi="Arial" w:cs="Arial"/>
                <w:b w:val="0"/>
                <w:bCs w:val="0"/>
                <w:sz w:val="20"/>
                <w:szCs w:val="20"/>
              </w:rPr>
              <w:t>57</w:t>
            </w:r>
          </w:p>
        </w:tc>
        <w:tc>
          <w:tcPr>
            <w:tcW w:w="4368" w:type="pct"/>
          </w:tcPr>
          <w:p w14:paraId="1CDB8603" w14:textId="763C53C0" w:rsidR="005B7602" w:rsidRPr="00812A8E" w:rsidRDefault="005B7602" w:rsidP="00B37858">
            <w:pPr>
              <w:rPr>
                <w:rFonts w:ascii="Arial" w:hAnsi="Arial" w:cs="Arial"/>
                <w:color w:val="000000"/>
                <w:sz w:val="20"/>
                <w:szCs w:val="20"/>
              </w:rPr>
            </w:pPr>
            <w:r w:rsidRPr="00812A8E">
              <w:rPr>
                <w:rFonts w:ascii="Arial" w:hAnsi="Arial" w:cs="Arial"/>
                <w:color w:val="000000"/>
                <w:sz w:val="20"/>
                <w:szCs w:val="20"/>
              </w:rPr>
              <w:t>Should this this also include Component Units?</w:t>
            </w:r>
          </w:p>
        </w:tc>
      </w:tr>
      <w:tr w:rsidR="005B7602" w:rsidRPr="00812A8E" w14:paraId="1D35B537" w14:textId="77777777" w:rsidTr="005B7602">
        <w:trPr>
          <w:trHeight w:val="116"/>
        </w:trPr>
        <w:tc>
          <w:tcPr>
            <w:tcW w:w="632" w:type="pct"/>
          </w:tcPr>
          <w:p w14:paraId="780EE383" w14:textId="77777777" w:rsidR="005B7602" w:rsidRPr="00812A8E" w:rsidRDefault="005B7602" w:rsidP="00B37858">
            <w:pPr>
              <w:pStyle w:val="Heading2"/>
              <w:keepNext w:val="0"/>
              <w:rPr>
                <w:rFonts w:ascii="Arial" w:hAnsi="Arial" w:cs="Arial"/>
                <w:b w:val="0"/>
                <w:bCs w:val="0"/>
                <w:sz w:val="20"/>
                <w:szCs w:val="20"/>
              </w:rPr>
            </w:pPr>
          </w:p>
        </w:tc>
        <w:tc>
          <w:tcPr>
            <w:tcW w:w="4368" w:type="pct"/>
          </w:tcPr>
          <w:p w14:paraId="6DA2E4F0" w14:textId="77777777" w:rsidR="005B7602" w:rsidRPr="00812A8E" w:rsidRDefault="005B7602" w:rsidP="00B37858">
            <w:pPr>
              <w:rPr>
                <w:rFonts w:ascii="Arial" w:hAnsi="Arial" w:cs="Arial"/>
                <w:color w:val="000000"/>
                <w:sz w:val="20"/>
                <w:szCs w:val="20"/>
              </w:rPr>
            </w:pPr>
          </w:p>
        </w:tc>
      </w:tr>
      <w:tr w:rsidR="005B7602" w:rsidRPr="00812A8E" w14:paraId="0C5E2424" w14:textId="77777777" w:rsidTr="005B7602">
        <w:trPr>
          <w:trHeight w:val="116"/>
        </w:trPr>
        <w:tc>
          <w:tcPr>
            <w:tcW w:w="632" w:type="pct"/>
          </w:tcPr>
          <w:p w14:paraId="18342DA2" w14:textId="2E6E82A0" w:rsidR="005B7602" w:rsidRPr="00812A8E" w:rsidRDefault="005B7602" w:rsidP="00B37858">
            <w:pPr>
              <w:pStyle w:val="Heading2"/>
              <w:keepNext w:val="0"/>
              <w:rPr>
                <w:rFonts w:ascii="Arial" w:hAnsi="Arial" w:cs="Arial"/>
                <w:b w:val="0"/>
                <w:bCs w:val="0"/>
                <w:sz w:val="20"/>
                <w:szCs w:val="20"/>
              </w:rPr>
            </w:pPr>
            <w:r w:rsidRPr="00812A8E">
              <w:rPr>
                <w:rFonts w:ascii="Arial" w:hAnsi="Arial" w:cs="Arial"/>
                <w:b w:val="0"/>
                <w:bCs w:val="0"/>
                <w:sz w:val="20"/>
                <w:szCs w:val="20"/>
              </w:rPr>
              <w:t>58</w:t>
            </w:r>
          </w:p>
        </w:tc>
        <w:tc>
          <w:tcPr>
            <w:tcW w:w="4368" w:type="pct"/>
          </w:tcPr>
          <w:p w14:paraId="11E8003F" w14:textId="2DEB72C3" w:rsidR="005B7602" w:rsidRPr="00812A8E" w:rsidRDefault="005B7602" w:rsidP="00B37858">
            <w:pPr>
              <w:rPr>
                <w:rFonts w:ascii="Arial" w:hAnsi="Arial" w:cs="Arial"/>
                <w:color w:val="000000"/>
                <w:sz w:val="20"/>
                <w:szCs w:val="20"/>
              </w:rPr>
            </w:pPr>
            <w:r w:rsidRPr="00812A8E">
              <w:rPr>
                <w:rFonts w:ascii="Arial" w:hAnsi="Arial" w:cs="Arial"/>
                <w:color w:val="000000"/>
                <w:sz w:val="20"/>
                <w:szCs w:val="20"/>
              </w:rPr>
              <w:t>Should this this also include Component Units?</w:t>
            </w:r>
          </w:p>
        </w:tc>
      </w:tr>
      <w:tr w:rsidR="005B7602" w:rsidRPr="00812A8E" w14:paraId="3F92C60E" w14:textId="77777777" w:rsidTr="005B7602">
        <w:trPr>
          <w:trHeight w:val="116"/>
        </w:trPr>
        <w:tc>
          <w:tcPr>
            <w:tcW w:w="632" w:type="pct"/>
          </w:tcPr>
          <w:p w14:paraId="29A1E49B" w14:textId="77777777" w:rsidR="005B7602" w:rsidRPr="00812A8E" w:rsidRDefault="005B7602" w:rsidP="00B37858">
            <w:pPr>
              <w:pStyle w:val="Heading2"/>
              <w:keepNext w:val="0"/>
              <w:rPr>
                <w:rFonts w:ascii="Arial" w:hAnsi="Arial" w:cs="Arial"/>
                <w:b w:val="0"/>
                <w:bCs w:val="0"/>
                <w:sz w:val="20"/>
                <w:szCs w:val="20"/>
              </w:rPr>
            </w:pPr>
          </w:p>
        </w:tc>
        <w:tc>
          <w:tcPr>
            <w:tcW w:w="4368" w:type="pct"/>
          </w:tcPr>
          <w:p w14:paraId="1EB9237A" w14:textId="77777777" w:rsidR="005B7602" w:rsidRPr="00812A8E" w:rsidRDefault="005B7602" w:rsidP="00B37858">
            <w:pPr>
              <w:pStyle w:val="Default0"/>
              <w:rPr>
                <w:rFonts w:ascii="Arial" w:eastAsiaTheme="minorHAnsi" w:hAnsi="Arial" w:cs="Arial"/>
                <w:color w:val="auto"/>
                <w:sz w:val="20"/>
                <w:szCs w:val="20"/>
              </w:rPr>
            </w:pPr>
          </w:p>
        </w:tc>
      </w:tr>
      <w:tr w:rsidR="005B7602" w:rsidRPr="00812A8E" w14:paraId="57C7D61E" w14:textId="77777777" w:rsidTr="005B7602">
        <w:trPr>
          <w:trHeight w:val="116"/>
        </w:trPr>
        <w:tc>
          <w:tcPr>
            <w:tcW w:w="632" w:type="pct"/>
          </w:tcPr>
          <w:p w14:paraId="73343359" w14:textId="257EBEE6" w:rsidR="005B7602" w:rsidRPr="00812A8E" w:rsidRDefault="005B7602" w:rsidP="00B37858">
            <w:pPr>
              <w:pStyle w:val="Heading2"/>
              <w:keepNext w:val="0"/>
              <w:rPr>
                <w:rFonts w:ascii="Arial" w:hAnsi="Arial" w:cs="Arial"/>
                <w:b w:val="0"/>
                <w:bCs w:val="0"/>
                <w:sz w:val="20"/>
                <w:szCs w:val="20"/>
              </w:rPr>
            </w:pPr>
            <w:r w:rsidRPr="00812A8E">
              <w:rPr>
                <w:rFonts w:ascii="Arial" w:hAnsi="Arial" w:cs="Arial"/>
                <w:b w:val="0"/>
                <w:bCs w:val="0"/>
                <w:sz w:val="20"/>
                <w:szCs w:val="20"/>
              </w:rPr>
              <w:t>62</w:t>
            </w:r>
          </w:p>
        </w:tc>
        <w:tc>
          <w:tcPr>
            <w:tcW w:w="4368" w:type="pct"/>
          </w:tcPr>
          <w:p w14:paraId="65E3307B" w14:textId="7A0F5CD3" w:rsidR="005B7602" w:rsidRPr="00812A8E" w:rsidRDefault="005B7602" w:rsidP="00B37858">
            <w:pPr>
              <w:rPr>
                <w:rFonts w:ascii="Arial" w:hAnsi="Arial" w:cs="Arial"/>
                <w:color w:val="000000"/>
                <w:sz w:val="20"/>
                <w:szCs w:val="20"/>
              </w:rPr>
            </w:pPr>
            <w:r w:rsidRPr="00812A8E">
              <w:rPr>
                <w:rFonts w:ascii="Arial" w:hAnsi="Arial" w:cs="Arial"/>
                <w:color w:val="000000"/>
                <w:sz w:val="20"/>
                <w:szCs w:val="20"/>
              </w:rPr>
              <w:t>We suggest using the term Expendable.</w:t>
            </w:r>
          </w:p>
        </w:tc>
      </w:tr>
      <w:tr w:rsidR="005B7602" w:rsidRPr="00812A8E" w14:paraId="2BCF9AAD" w14:textId="77777777" w:rsidTr="005B7602">
        <w:trPr>
          <w:trHeight w:val="116"/>
        </w:trPr>
        <w:tc>
          <w:tcPr>
            <w:tcW w:w="632" w:type="pct"/>
          </w:tcPr>
          <w:p w14:paraId="42CD38D4" w14:textId="77777777" w:rsidR="005B7602" w:rsidRPr="00812A8E" w:rsidRDefault="005B7602" w:rsidP="00B37858">
            <w:pPr>
              <w:pStyle w:val="Heading2"/>
              <w:keepNext w:val="0"/>
              <w:rPr>
                <w:rFonts w:ascii="Arial" w:hAnsi="Arial" w:cs="Arial"/>
                <w:b w:val="0"/>
                <w:bCs w:val="0"/>
                <w:sz w:val="20"/>
                <w:szCs w:val="20"/>
              </w:rPr>
            </w:pPr>
          </w:p>
        </w:tc>
        <w:tc>
          <w:tcPr>
            <w:tcW w:w="4368" w:type="pct"/>
          </w:tcPr>
          <w:p w14:paraId="54F73C42" w14:textId="77777777" w:rsidR="005B7602" w:rsidRPr="00812A8E" w:rsidRDefault="005B7602" w:rsidP="00B37858">
            <w:pPr>
              <w:rPr>
                <w:rFonts w:ascii="Arial" w:hAnsi="Arial" w:cs="Arial"/>
                <w:color w:val="000000"/>
                <w:sz w:val="20"/>
                <w:szCs w:val="20"/>
              </w:rPr>
            </w:pPr>
          </w:p>
        </w:tc>
      </w:tr>
      <w:tr w:rsidR="005B7602" w:rsidRPr="00812A8E" w14:paraId="71E9CC6B" w14:textId="77777777" w:rsidTr="005B7602">
        <w:trPr>
          <w:trHeight w:val="116"/>
        </w:trPr>
        <w:tc>
          <w:tcPr>
            <w:tcW w:w="632" w:type="pct"/>
          </w:tcPr>
          <w:p w14:paraId="6A6659DD" w14:textId="7FA9EF10" w:rsidR="005B7602" w:rsidRPr="00812A8E" w:rsidRDefault="005B7602" w:rsidP="00B37858">
            <w:pPr>
              <w:pStyle w:val="Heading2"/>
              <w:keepNext w:val="0"/>
              <w:rPr>
                <w:rFonts w:ascii="Arial" w:hAnsi="Arial" w:cs="Arial"/>
                <w:b w:val="0"/>
                <w:bCs w:val="0"/>
                <w:sz w:val="20"/>
                <w:szCs w:val="20"/>
              </w:rPr>
            </w:pPr>
            <w:r w:rsidRPr="00812A8E">
              <w:rPr>
                <w:rFonts w:ascii="Arial" w:hAnsi="Arial" w:cs="Arial"/>
                <w:b w:val="0"/>
                <w:bCs w:val="0"/>
                <w:sz w:val="20"/>
                <w:szCs w:val="20"/>
              </w:rPr>
              <w:t>63</w:t>
            </w:r>
          </w:p>
        </w:tc>
        <w:tc>
          <w:tcPr>
            <w:tcW w:w="4368" w:type="pct"/>
          </w:tcPr>
          <w:p w14:paraId="53A4BCBF" w14:textId="3EAF1429" w:rsidR="005B7602" w:rsidRPr="00812A8E" w:rsidRDefault="005B7602" w:rsidP="00B37858">
            <w:pPr>
              <w:rPr>
                <w:rFonts w:ascii="Arial" w:hAnsi="Arial" w:cs="Arial"/>
                <w:color w:val="000000"/>
                <w:sz w:val="20"/>
                <w:szCs w:val="20"/>
              </w:rPr>
            </w:pPr>
            <w:r w:rsidRPr="00812A8E">
              <w:rPr>
                <w:rFonts w:ascii="Arial" w:hAnsi="Arial" w:cs="Arial"/>
                <w:sz w:val="20"/>
                <w:szCs w:val="20"/>
              </w:rPr>
              <w:t>We suggest using the term Expendable.</w:t>
            </w:r>
          </w:p>
        </w:tc>
      </w:tr>
      <w:tr w:rsidR="005B7602" w:rsidRPr="00812A8E" w14:paraId="766A0B09" w14:textId="77777777" w:rsidTr="005B7602">
        <w:trPr>
          <w:trHeight w:val="116"/>
        </w:trPr>
        <w:tc>
          <w:tcPr>
            <w:tcW w:w="632" w:type="pct"/>
          </w:tcPr>
          <w:p w14:paraId="4C09A04C" w14:textId="77777777" w:rsidR="005B7602" w:rsidRPr="00812A8E" w:rsidRDefault="005B7602" w:rsidP="00B37858">
            <w:pPr>
              <w:pStyle w:val="Heading2"/>
              <w:keepNext w:val="0"/>
              <w:rPr>
                <w:rFonts w:ascii="Arial" w:hAnsi="Arial" w:cs="Arial"/>
                <w:b w:val="0"/>
                <w:bCs w:val="0"/>
                <w:sz w:val="20"/>
                <w:szCs w:val="20"/>
              </w:rPr>
            </w:pPr>
          </w:p>
        </w:tc>
        <w:tc>
          <w:tcPr>
            <w:tcW w:w="4368" w:type="pct"/>
          </w:tcPr>
          <w:p w14:paraId="39D9DFC3" w14:textId="77777777" w:rsidR="005B7602" w:rsidRPr="00812A8E" w:rsidRDefault="005B7602" w:rsidP="00B37858">
            <w:pPr>
              <w:rPr>
                <w:rFonts w:ascii="Arial" w:hAnsi="Arial" w:cs="Arial"/>
                <w:color w:val="000000"/>
                <w:sz w:val="20"/>
                <w:szCs w:val="20"/>
              </w:rPr>
            </w:pPr>
          </w:p>
        </w:tc>
      </w:tr>
      <w:tr w:rsidR="005B7602" w:rsidRPr="00812A8E" w14:paraId="5FA2BB99" w14:textId="77777777" w:rsidTr="005B7602">
        <w:trPr>
          <w:trHeight w:val="116"/>
        </w:trPr>
        <w:tc>
          <w:tcPr>
            <w:tcW w:w="632" w:type="pct"/>
          </w:tcPr>
          <w:p w14:paraId="2B318D5B" w14:textId="07D8CF22" w:rsidR="005B7602" w:rsidRPr="00812A8E" w:rsidRDefault="005B7602" w:rsidP="00B37858">
            <w:pPr>
              <w:pStyle w:val="Heading2"/>
              <w:keepNext w:val="0"/>
              <w:rPr>
                <w:rFonts w:ascii="Arial" w:hAnsi="Arial" w:cs="Arial"/>
                <w:b w:val="0"/>
                <w:bCs w:val="0"/>
                <w:sz w:val="20"/>
                <w:szCs w:val="20"/>
              </w:rPr>
            </w:pPr>
            <w:r w:rsidRPr="00812A8E">
              <w:rPr>
                <w:rFonts w:ascii="Arial" w:hAnsi="Arial" w:cs="Arial"/>
                <w:b w:val="0"/>
                <w:bCs w:val="0"/>
                <w:sz w:val="20"/>
                <w:szCs w:val="20"/>
              </w:rPr>
              <w:t>65</w:t>
            </w:r>
          </w:p>
        </w:tc>
        <w:tc>
          <w:tcPr>
            <w:tcW w:w="4368" w:type="pct"/>
          </w:tcPr>
          <w:p w14:paraId="13AFF04F" w14:textId="55E46FE1" w:rsidR="005B7602" w:rsidRPr="00812A8E" w:rsidRDefault="005B7602" w:rsidP="00B37858">
            <w:pPr>
              <w:rPr>
                <w:rFonts w:ascii="Arial" w:hAnsi="Arial" w:cs="Arial"/>
                <w:color w:val="000000"/>
                <w:sz w:val="20"/>
                <w:szCs w:val="20"/>
              </w:rPr>
            </w:pPr>
            <w:r w:rsidRPr="00812A8E">
              <w:rPr>
                <w:rFonts w:ascii="Arial" w:hAnsi="Arial" w:cs="Arial"/>
                <w:color w:val="000000"/>
                <w:sz w:val="20"/>
                <w:szCs w:val="20"/>
              </w:rPr>
              <w:t>We suggest, “Decrease in current financial resources.”</w:t>
            </w:r>
          </w:p>
        </w:tc>
      </w:tr>
      <w:tr w:rsidR="005B7602" w:rsidRPr="00812A8E" w14:paraId="32B981F1" w14:textId="77777777" w:rsidTr="005B7602">
        <w:trPr>
          <w:trHeight w:val="116"/>
        </w:trPr>
        <w:tc>
          <w:tcPr>
            <w:tcW w:w="632" w:type="pct"/>
          </w:tcPr>
          <w:p w14:paraId="7D6408D1" w14:textId="77777777" w:rsidR="005B7602" w:rsidRPr="00812A8E" w:rsidRDefault="005B7602" w:rsidP="00B37858">
            <w:pPr>
              <w:pStyle w:val="Heading2"/>
              <w:keepNext w:val="0"/>
              <w:rPr>
                <w:rFonts w:ascii="Arial" w:hAnsi="Arial" w:cs="Arial"/>
                <w:b w:val="0"/>
                <w:bCs w:val="0"/>
                <w:sz w:val="20"/>
                <w:szCs w:val="20"/>
              </w:rPr>
            </w:pPr>
          </w:p>
        </w:tc>
        <w:tc>
          <w:tcPr>
            <w:tcW w:w="4368" w:type="pct"/>
          </w:tcPr>
          <w:p w14:paraId="517C9052" w14:textId="77777777" w:rsidR="005B7602" w:rsidRPr="00812A8E" w:rsidRDefault="005B7602" w:rsidP="00B37858">
            <w:pPr>
              <w:rPr>
                <w:rFonts w:ascii="Arial" w:hAnsi="Arial" w:cs="Arial"/>
                <w:color w:val="000000"/>
                <w:sz w:val="20"/>
                <w:szCs w:val="20"/>
              </w:rPr>
            </w:pPr>
          </w:p>
        </w:tc>
      </w:tr>
      <w:tr w:rsidR="005B7602" w:rsidRPr="00812A8E" w14:paraId="375D323C" w14:textId="77777777" w:rsidTr="005B7602">
        <w:trPr>
          <w:trHeight w:val="116"/>
        </w:trPr>
        <w:tc>
          <w:tcPr>
            <w:tcW w:w="632" w:type="pct"/>
          </w:tcPr>
          <w:p w14:paraId="1093AB1B" w14:textId="426B2F07" w:rsidR="005B7602" w:rsidRPr="00812A8E" w:rsidRDefault="005B7602" w:rsidP="00B37858">
            <w:pPr>
              <w:pStyle w:val="Heading2"/>
              <w:keepNext w:val="0"/>
              <w:rPr>
                <w:rFonts w:ascii="Arial" w:hAnsi="Arial" w:cs="Arial"/>
                <w:b w:val="0"/>
                <w:bCs w:val="0"/>
                <w:sz w:val="20"/>
                <w:szCs w:val="20"/>
              </w:rPr>
            </w:pPr>
            <w:r w:rsidRPr="00812A8E">
              <w:rPr>
                <w:rFonts w:ascii="Arial" w:hAnsi="Arial" w:cs="Arial"/>
                <w:b w:val="0"/>
                <w:bCs w:val="0"/>
                <w:sz w:val="20"/>
                <w:szCs w:val="20"/>
              </w:rPr>
              <w:t>67</w:t>
            </w:r>
          </w:p>
        </w:tc>
        <w:tc>
          <w:tcPr>
            <w:tcW w:w="4368" w:type="pct"/>
          </w:tcPr>
          <w:p w14:paraId="09951542" w14:textId="542769CF" w:rsidR="005B7602" w:rsidRPr="00812A8E" w:rsidRDefault="005B7602" w:rsidP="00B37858">
            <w:pPr>
              <w:rPr>
                <w:rFonts w:ascii="Arial" w:hAnsi="Arial" w:cs="Arial"/>
                <w:color w:val="000000"/>
                <w:sz w:val="20"/>
                <w:szCs w:val="20"/>
              </w:rPr>
            </w:pPr>
            <w:r w:rsidRPr="00812A8E">
              <w:rPr>
                <w:rFonts w:ascii="Arial" w:hAnsi="Arial" w:cs="Arial"/>
                <w:color w:val="000000"/>
                <w:sz w:val="20"/>
                <w:szCs w:val="20"/>
              </w:rPr>
              <w:t>Why no description?</w:t>
            </w:r>
          </w:p>
        </w:tc>
      </w:tr>
      <w:tr w:rsidR="005B7602" w:rsidRPr="00812A8E" w14:paraId="7FB69F54" w14:textId="77777777" w:rsidTr="005B7602">
        <w:trPr>
          <w:trHeight w:val="116"/>
        </w:trPr>
        <w:tc>
          <w:tcPr>
            <w:tcW w:w="632" w:type="pct"/>
          </w:tcPr>
          <w:p w14:paraId="430E443C" w14:textId="77777777" w:rsidR="005B7602" w:rsidRPr="00812A8E" w:rsidRDefault="005B7602" w:rsidP="00B37858">
            <w:pPr>
              <w:pStyle w:val="Heading2"/>
              <w:keepNext w:val="0"/>
              <w:rPr>
                <w:rFonts w:ascii="Arial" w:hAnsi="Arial" w:cs="Arial"/>
                <w:b w:val="0"/>
                <w:bCs w:val="0"/>
                <w:sz w:val="20"/>
                <w:szCs w:val="20"/>
              </w:rPr>
            </w:pPr>
          </w:p>
        </w:tc>
        <w:tc>
          <w:tcPr>
            <w:tcW w:w="4368" w:type="pct"/>
          </w:tcPr>
          <w:p w14:paraId="187FF3BF" w14:textId="77777777" w:rsidR="005B7602" w:rsidRPr="00812A8E" w:rsidRDefault="005B7602" w:rsidP="00B37858">
            <w:pPr>
              <w:pStyle w:val="Default0"/>
              <w:rPr>
                <w:rFonts w:ascii="Arial" w:eastAsiaTheme="minorHAnsi" w:hAnsi="Arial" w:cs="Arial"/>
                <w:color w:val="auto"/>
                <w:sz w:val="20"/>
                <w:szCs w:val="20"/>
              </w:rPr>
            </w:pPr>
          </w:p>
        </w:tc>
      </w:tr>
      <w:tr w:rsidR="005B7602" w:rsidRPr="00812A8E" w14:paraId="750C006A" w14:textId="77777777" w:rsidTr="005B7602">
        <w:trPr>
          <w:trHeight w:val="116"/>
        </w:trPr>
        <w:tc>
          <w:tcPr>
            <w:tcW w:w="632" w:type="pct"/>
          </w:tcPr>
          <w:p w14:paraId="77CEAE4E" w14:textId="01226BEB" w:rsidR="005B7602" w:rsidRPr="00812A8E" w:rsidRDefault="005B7602" w:rsidP="00B37858">
            <w:pPr>
              <w:pStyle w:val="Heading2"/>
              <w:keepNext w:val="0"/>
              <w:rPr>
                <w:rFonts w:ascii="Arial" w:hAnsi="Arial" w:cs="Arial"/>
                <w:b w:val="0"/>
                <w:bCs w:val="0"/>
                <w:sz w:val="20"/>
                <w:szCs w:val="20"/>
              </w:rPr>
            </w:pPr>
            <w:r w:rsidRPr="00812A8E">
              <w:rPr>
                <w:rFonts w:ascii="Arial" w:hAnsi="Arial" w:cs="Arial"/>
                <w:b w:val="0"/>
                <w:bCs w:val="0"/>
                <w:sz w:val="20"/>
                <w:szCs w:val="20"/>
              </w:rPr>
              <w:t>69</w:t>
            </w:r>
          </w:p>
        </w:tc>
        <w:tc>
          <w:tcPr>
            <w:tcW w:w="4368" w:type="pct"/>
          </w:tcPr>
          <w:p w14:paraId="13F69056" w14:textId="51737FAB" w:rsidR="005B7602" w:rsidRPr="00812A8E" w:rsidRDefault="005B7602" w:rsidP="00B37858">
            <w:pPr>
              <w:rPr>
                <w:rFonts w:ascii="Arial" w:hAnsi="Arial" w:cs="Arial"/>
                <w:color w:val="000000"/>
                <w:sz w:val="20"/>
                <w:szCs w:val="20"/>
              </w:rPr>
            </w:pPr>
            <w:r w:rsidRPr="00812A8E">
              <w:rPr>
                <w:rFonts w:ascii="Arial" w:hAnsi="Arial" w:cs="Arial"/>
                <w:color w:val="000000"/>
                <w:sz w:val="20"/>
                <w:szCs w:val="20"/>
              </w:rPr>
              <w:t>We suggest updating this definition for GASB 84.</w:t>
            </w:r>
          </w:p>
        </w:tc>
      </w:tr>
      <w:tr w:rsidR="005B7602" w:rsidRPr="00812A8E" w14:paraId="019D358D" w14:textId="77777777" w:rsidTr="005B7602">
        <w:trPr>
          <w:trHeight w:val="116"/>
        </w:trPr>
        <w:tc>
          <w:tcPr>
            <w:tcW w:w="632" w:type="pct"/>
          </w:tcPr>
          <w:p w14:paraId="4EA28B7C" w14:textId="4DD10F6E" w:rsidR="005B7602" w:rsidRPr="00812A8E" w:rsidRDefault="005B7602" w:rsidP="00B37858">
            <w:pPr>
              <w:pStyle w:val="Heading2"/>
              <w:keepNext w:val="0"/>
              <w:rPr>
                <w:rFonts w:ascii="Arial" w:hAnsi="Arial" w:cs="Arial"/>
                <w:b w:val="0"/>
                <w:bCs w:val="0"/>
                <w:sz w:val="20"/>
                <w:szCs w:val="20"/>
              </w:rPr>
            </w:pPr>
          </w:p>
        </w:tc>
        <w:tc>
          <w:tcPr>
            <w:tcW w:w="4368" w:type="pct"/>
          </w:tcPr>
          <w:p w14:paraId="14905F1A" w14:textId="6B17A703" w:rsidR="005B7602" w:rsidRPr="00812A8E" w:rsidRDefault="005B7602" w:rsidP="00B37858">
            <w:pPr>
              <w:pStyle w:val="Default0"/>
              <w:rPr>
                <w:rFonts w:ascii="Arial" w:eastAsiaTheme="minorHAnsi" w:hAnsi="Arial" w:cs="Arial"/>
                <w:color w:val="auto"/>
                <w:sz w:val="20"/>
                <w:szCs w:val="20"/>
              </w:rPr>
            </w:pPr>
            <w:r w:rsidRPr="00812A8E">
              <w:rPr>
                <w:rFonts w:ascii="Arial" w:hAnsi="Arial" w:cs="Arial"/>
                <w:sz w:val="20"/>
                <w:szCs w:val="20"/>
              </w:rPr>
              <w:t>Agency Funds become Custodial Funds under GASB 84.</w:t>
            </w:r>
          </w:p>
        </w:tc>
      </w:tr>
      <w:tr w:rsidR="005B7602" w:rsidRPr="00812A8E" w14:paraId="0AE49DBC" w14:textId="77777777" w:rsidTr="005B7602">
        <w:trPr>
          <w:trHeight w:val="116"/>
        </w:trPr>
        <w:tc>
          <w:tcPr>
            <w:tcW w:w="632" w:type="pct"/>
          </w:tcPr>
          <w:p w14:paraId="6D16E631" w14:textId="77777777" w:rsidR="005B7602" w:rsidRPr="00812A8E" w:rsidRDefault="005B7602" w:rsidP="00B37858">
            <w:pPr>
              <w:pStyle w:val="Heading2"/>
              <w:keepNext w:val="0"/>
              <w:rPr>
                <w:rFonts w:ascii="Arial" w:hAnsi="Arial" w:cs="Arial"/>
                <w:b w:val="0"/>
                <w:bCs w:val="0"/>
                <w:sz w:val="20"/>
                <w:szCs w:val="20"/>
              </w:rPr>
            </w:pPr>
          </w:p>
        </w:tc>
        <w:tc>
          <w:tcPr>
            <w:tcW w:w="4368" w:type="pct"/>
          </w:tcPr>
          <w:p w14:paraId="1A3C004F" w14:textId="77777777" w:rsidR="005B7602" w:rsidRPr="00812A8E" w:rsidRDefault="005B7602" w:rsidP="00B37858">
            <w:pPr>
              <w:pStyle w:val="Default0"/>
              <w:rPr>
                <w:rFonts w:ascii="Arial" w:eastAsiaTheme="minorHAnsi" w:hAnsi="Arial" w:cs="Arial"/>
                <w:color w:val="auto"/>
                <w:sz w:val="20"/>
                <w:szCs w:val="20"/>
              </w:rPr>
            </w:pPr>
          </w:p>
        </w:tc>
      </w:tr>
      <w:tr w:rsidR="005B7602" w:rsidRPr="00812A8E" w14:paraId="7F525763" w14:textId="77777777" w:rsidTr="005B7602">
        <w:trPr>
          <w:trHeight w:val="116"/>
        </w:trPr>
        <w:tc>
          <w:tcPr>
            <w:tcW w:w="632" w:type="pct"/>
          </w:tcPr>
          <w:p w14:paraId="6807A697" w14:textId="3D79D6F6" w:rsidR="005B7602" w:rsidRPr="00812A8E" w:rsidRDefault="005B7602" w:rsidP="00B37858">
            <w:pPr>
              <w:pStyle w:val="Heading2"/>
              <w:keepNext w:val="0"/>
              <w:rPr>
                <w:rFonts w:ascii="Arial" w:hAnsi="Arial" w:cs="Arial"/>
                <w:b w:val="0"/>
                <w:bCs w:val="0"/>
                <w:sz w:val="20"/>
                <w:szCs w:val="20"/>
              </w:rPr>
            </w:pPr>
            <w:r w:rsidRPr="00812A8E">
              <w:rPr>
                <w:rFonts w:ascii="Arial" w:hAnsi="Arial" w:cs="Arial"/>
                <w:b w:val="0"/>
                <w:bCs w:val="0"/>
                <w:sz w:val="20"/>
                <w:szCs w:val="20"/>
              </w:rPr>
              <w:t>72</w:t>
            </w:r>
          </w:p>
        </w:tc>
        <w:tc>
          <w:tcPr>
            <w:tcW w:w="4368" w:type="pct"/>
          </w:tcPr>
          <w:p w14:paraId="6AB00F93" w14:textId="2D1BCF4F" w:rsidR="005B7602" w:rsidRPr="00812A8E" w:rsidRDefault="005B7602" w:rsidP="00B37858">
            <w:pPr>
              <w:pStyle w:val="Default0"/>
              <w:rPr>
                <w:rFonts w:ascii="Arial" w:eastAsiaTheme="minorHAnsi" w:hAnsi="Arial" w:cs="Arial"/>
                <w:color w:val="auto"/>
                <w:sz w:val="20"/>
                <w:szCs w:val="20"/>
              </w:rPr>
            </w:pPr>
            <w:r w:rsidRPr="00812A8E">
              <w:rPr>
                <w:rFonts w:ascii="Arial" w:eastAsiaTheme="minorHAnsi" w:hAnsi="Arial" w:cs="Arial"/>
                <w:color w:val="auto"/>
                <w:sz w:val="20"/>
                <w:szCs w:val="20"/>
              </w:rPr>
              <w:t>Is this definition broad enough to cover entities under GASB Statement 39 (i.e. such as foundations)?</w:t>
            </w:r>
          </w:p>
        </w:tc>
      </w:tr>
      <w:tr w:rsidR="005B7602" w:rsidRPr="00812A8E" w14:paraId="6505CD62" w14:textId="77777777" w:rsidTr="005B7602">
        <w:trPr>
          <w:trHeight w:val="116"/>
        </w:trPr>
        <w:tc>
          <w:tcPr>
            <w:tcW w:w="632" w:type="pct"/>
          </w:tcPr>
          <w:p w14:paraId="23A79190" w14:textId="77777777" w:rsidR="005B7602" w:rsidRPr="00812A8E" w:rsidRDefault="005B7602" w:rsidP="00B37858">
            <w:pPr>
              <w:pStyle w:val="Heading2"/>
              <w:keepNext w:val="0"/>
              <w:rPr>
                <w:rFonts w:ascii="Arial" w:hAnsi="Arial" w:cs="Arial"/>
                <w:b w:val="0"/>
                <w:bCs w:val="0"/>
                <w:sz w:val="20"/>
                <w:szCs w:val="20"/>
              </w:rPr>
            </w:pPr>
          </w:p>
        </w:tc>
        <w:tc>
          <w:tcPr>
            <w:tcW w:w="4368" w:type="pct"/>
          </w:tcPr>
          <w:p w14:paraId="737B8763" w14:textId="77777777" w:rsidR="005B7602" w:rsidRPr="00812A8E" w:rsidRDefault="005B7602" w:rsidP="00B37858">
            <w:pPr>
              <w:pStyle w:val="Default0"/>
              <w:rPr>
                <w:rFonts w:ascii="Arial" w:eastAsiaTheme="minorHAnsi" w:hAnsi="Arial" w:cs="Arial"/>
                <w:color w:val="auto"/>
                <w:sz w:val="20"/>
                <w:szCs w:val="20"/>
              </w:rPr>
            </w:pPr>
          </w:p>
        </w:tc>
      </w:tr>
      <w:tr w:rsidR="005B7602" w:rsidRPr="00812A8E" w14:paraId="26627FB7" w14:textId="77777777" w:rsidTr="005B7602">
        <w:trPr>
          <w:trHeight w:val="116"/>
        </w:trPr>
        <w:tc>
          <w:tcPr>
            <w:tcW w:w="632" w:type="pct"/>
          </w:tcPr>
          <w:p w14:paraId="7C7262FC" w14:textId="0C5D2150" w:rsidR="005B7602" w:rsidRPr="00812A8E" w:rsidRDefault="005B7602" w:rsidP="00B37858">
            <w:pPr>
              <w:pStyle w:val="Heading2"/>
              <w:keepNext w:val="0"/>
              <w:rPr>
                <w:rFonts w:ascii="Arial" w:hAnsi="Arial" w:cs="Arial"/>
                <w:b w:val="0"/>
                <w:bCs w:val="0"/>
                <w:sz w:val="20"/>
                <w:szCs w:val="20"/>
              </w:rPr>
            </w:pPr>
            <w:r w:rsidRPr="00812A8E">
              <w:rPr>
                <w:rFonts w:ascii="Arial" w:hAnsi="Arial" w:cs="Arial"/>
                <w:b w:val="0"/>
                <w:bCs w:val="0"/>
                <w:sz w:val="20"/>
                <w:szCs w:val="20"/>
              </w:rPr>
              <w:t>73</w:t>
            </w:r>
          </w:p>
        </w:tc>
        <w:tc>
          <w:tcPr>
            <w:tcW w:w="4368" w:type="pct"/>
          </w:tcPr>
          <w:p w14:paraId="4848A804" w14:textId="66192E22" w:rsidR="005B7602" w:rsidRPr="00812A8E" w:rsidRDefault="005B7602" w:rsidP="00B37858">
            <w:pPr>
              <w:pStyle w:val="Default0"/>
              <w:rPr>
                <w:rFonts w:ascii="Arial" w:eastAsiaTheme="minorHAnsi" w:hAnsi="Arial" w:cs="Arial"/>
                <w:color w:val="auto"/>
                <w:sz w:val="20"/>
                <w:szCs w:val="20"/>
              </w:rPr>
            </w:pPr>
            <w:r w:rsidRPr="00812A8E">
              <w:rPr>
                <w:rFonts w:ascii="Arial" w:hAnsi="Arial" w:cs="Arial"/>
                <w:sz w:val="20"/>
                <w:szCs w:val="20"/>
              </w:rPr>
              <w:t>We suggest using a definition of, “Revenues derived from fines, penalties and forfeitures.”</w:t>
            </w:r>
          </w:p>
        </w:tc>
      </w:tr>
      <w:tr w:rsidR="005B7602" w:rsidRPr="00812A8E" w14:paraId="1CB9FD46" w14:textId="77777777" w:rsidTr="005B7602">
        <w:trPr>
          <w:trHeight w:val="116"/>
        </w:trPr>
        <w:tc>
          <w:tcPr>
            <w:tcW w:w="632" w:type="pct"/>
          </w:tcPr>
          <w:p w14:paraId="3B030B93" w14:textId="6849D995" w:rsidR="005B7602" w:rsidRPr="00812A8E" w:rsidRDefault="005B7602" w:rsidP="00B37858">
            <w:pPr>
              <w:pStyle w:val="Heading2"/>
              <w:keepNext w:val="0"/>
              <w:rPr>
                <w:rFonts w:ascii="Arial" w:hAnsi="Arial" w:cs="Arial"/>
                <w:b w:val="0"/>
                <w:bCs w:val="0"/>
                <w:sz w:val="20"/>
                <w:szCs w:val="20"/>
              </w:rPr>
            </w:pPr>
          </w:p>
        </w:tc>
        <w:tc>
          <w:tcPr>
            <w:tcW w:w="4368" w:type="pct"/>
          </w:tcPr>
          <w:p w14:paraId="6F25EB1F" w14:textId="16EE580C" w:rsidR="005B7602" w:rsidRPr="00812A8E" w:rsidRDefault="005B7602" w:rsidP="00B37858">
            <w:pPr>
              <w:pStyle w:val="Default0"/>
              <w:rPr>
                <w:rFonts w:ascii="Arial" w:eastAsiaTheme="minorHAnsi" w:hAnsi="Arial" w:cs="Arial"/>
                <w:color w:val="auto"/>
                <w:sz w:val="20"/>
                <w:szCs w:val="20"/>
              </w:rPr>
            </w:pPr>
            <w:r w:rsidRPr="00812A8E">
              <w:rPr>
                <w:rFonts w:ascii="Arial" w:eastAsiaTheme="minorHAnsi" w:hAnsi="Arial" w:cs="Arial"/>
                <w:color w:val="auto"/>
                <w:sz w:val="20"/>
                <w:szCs w:val="20"/>
              </w:rPr>
              <w:t>I would change this to:  Revenues obtained through fines, penalties, asset forfeiture, and similar law enforcement or court activity.</w:t>
            </w:r>
          </w:p>
        </w:tc>
      </w:tr>
      <w:tr w:rsidR="005B7602" w:rsidRPr="00812A8E" w14:paraId="50CE8522" w14:textId="77777777" w:rsidTr="005B7602">
        <w:trPr>
          <w:trHeight w:val="116"/>
        </w:trPr>
        <w:tc>
          <w:tcPr>
            <w:tcW w:w="632" w:type="pct"/>
          </w:tcPr>
          <w:p w14:paraId="5CA683C9" w14:textId="77777777" w:rsidR="005B7602" w:rsidRPr="00812A8E" w:rsidRDefault="005B7602" w:rsidP="00B37858">
            <w:pPr>
              <w:pStyle w:val="Heading2"/>
              <w:keepNext w:val="0"/>
              <w:rPr>
                <w:rFonts w:ascii="Arial" w:hAnsi="Arial" w:cs="Arial"/>
                <w:b w:val="0"/>
                <w:bCs w:val="0"/>
                <w:sz w:val="20"/>
                <w:szCs w:val="20"/>
              </w:rPr>
            </w:pPr>
          </w:p>
        </w:tc>
        <w:tc>
          <w:tcPr>
            <w:tcW w:w="4368" w:type="pct"/>
          </w:tcPr>
          <w:p w14:paraId="44642439" w14:textId="77777777" w:rsidR="005B7602" w:rsidRPr="00812A8E" w:rsidRDefault="005B7602" w:rsidP="00B37858">
            <w:pPr>
              <w:pStyle w:val="Default0"/>
              <w:rPr>
                <w:rFonts w:ascii="Arial" w:eastAsiaTheme="minorHAnsi" w:hAnsi="Arial" w:cs="Arial"/>
                <w:color w:val="auto"/>
                <w:sz w:val="20"/>
                <w:szCs w:val="20"/>
              </w:rPr>
            </w:pPr>
          </w:p>
        </w:tc>
      </w:tr>
      <w:tr w:rsidR="005B7602" w:rsidRPr="00812A8E" w14:paraId="577922C0" w14:textId="77777777" w:rsidTr="005B7602">
        <w:trPr>
          <w:trHeight w:val="116"/>
        </w:trPr>
        <w:tc>
          <w:tcPr>
            <w:tcW w:w="632" w:type="pct"/>
          </w:tcPr>
          <w:p w14:paraId="380B73FE" w14:textId="73799C5F" w:rsidR="005B7602" w:rsidRPr="00812A8E" w:rsidRDefault="005B7602" w:rsidP="00B37858">
            <w:pPr>
              <w:pStyle w:val="Heading2"/>
              <w:keepNext w:val="0"/>
              <w:rPr>
                <w:rFonts w:ascii="Arial" w:hAnsi="Arial" w:cs="Arial"/>
                <w:b w:val="0"/>
                <w:bCs w:val="0"/>
                <w:sz w:val="20"/>
                <w:szCs w:val="20"/>
              </w:rPr>
            </w:pPr>
            <w:r w:rsidRPr="00812A8E">
              <w:rPr>
                <w:rFonts w:ascii="Arial" w:hAnsi="Arial" w:cs="Arial"/>
                <w:b w:val="0"/>
                <w:bCs w:val="0"/>
                <w:sz w:val="20"/>
                <w:szCs w:val="20"/>
              </w:rPr>
              <w:t>76</w:t>
            </w:r>
          </w:p>
        </w:tc>
        <w:tc>
          <w:tcPr>
            <w:tcW w:w="4368" w:type="pct"/>
          </w:tcPr>
          <w:p w14:paraId="4C759F9D" w14:textId="2C73B2A9" w:rsidR="005B7602" w:rsidRPr="00812A8E" w:rsidRDefault="005B7602" w:rsidP="00B37858">
            <w:pPr>
              <w:pStyle w:val="Default0"/>
              <w:rPr>
                <w:rFonts w:ascii="Arial" w:eastAsiaTheme="minorHAnsi" w:hAnsi="Arial" w:cs="Arial"/>
                <w:color w:val="auto"/>
                <w:sz w:val="20"/>
                <w:szCs w:val="20"/>
              </w:rPr>
            </w:pPr>
            <w:r w:rsidRPr="00812A8E">
              <w:rPr>
                <w:rFonts w:ascii="Arial" w:eastAsiaTheme="minorHAnsi" w:hAnsi="Arial" w:cs="Arial"/>
                <w:color w:val="auto"/>
                <w:sz w:val="20"/>
                <w:szCs w:val="20"/>
              </w:rPr>
              <w:t>Total Fund Balance – the description addresses required note disclosures for policies and procedures related to classifying the components of fund balance. It appears the description would be more helpful if it described total fund balance instead.</w:t>
            </w:r>
          </w:p>
        </w:tc>
      </w:tr>
      <w:tr w:rsidR="005B7602" w:rsidRPr="00812A8E" w14:paraId="4866DAEE" w14:textId="77777777" w:rsidTr="005B7602">
        <w:trPr>
          <w:trHeight w:val="116"/>
        </w:trPr>
        <w:tc>
          <w:tcPr>
            <w:tcW w:w="632" w:type="pct"/>
          </w:tcPr>
          <w:p w14:paraId="5522D9B4" w14:textId="742D152C" w:rsidR="005B7602" w:rsidRPr="00812A8E" w:rsidRDefault="005B7602" w:rsidP="00B37858">
            <w:pPr>
              <w:pStyle w:val="Heading2"/>
              <w:keepNext w:val="0"/>
              <w:rPr>
                <w:rFonts w:ascii="Arial" w:hAnsi="Arial" w:cs="Arial"/>
                <w:b w:val="0"/>
                <w:bCs w:val="0"/>
                <w:sz w:val="20"/>
                <w:szCs w:val="20"/>
              </w:rPr>
            </w:pPr>
          </w:p>
        </w:tc>
        <w:tc>
          <w:tcPr>
            <w:tcW w:w="4368" w:type="pct"/>
          </w:tcPr>
          <w:p w14:paraId="5B28D456" w14:textId="7AE00A41" w:rsidR="005B7602" w:rsidRPr="00812A8E" w:rsidRDefault="005B7602" w:rsidP="00B37858">
            <w:pPr>
              <w:pStyle w:val="Default0"/>
              <w:rPr>
                <w:rFonts w:ascii="Arial" w:eastAsiaTheme="minorHAnsi" w:hAnsi="Arial" w:cs="Arial"/>
                <w:color w:val="auto"/>
                <w:sz w:val="20"/>
                <w:szCs w:val="20"/>
              </w:rPr>
            </w:pPr>
            <w:r w:rsidRPr="00812A8E">
              <w:rPr>
                <w:rFonts w:ascii="Arial" w:eastAsiaTheme="minorHAnsi" w:hAnsi="Arial" w:cs="Arial"/>
                <w:color w:val="auto"/>
                <w:sz w:val="20"/>
                <w:szCs w:val="20"/>
              </w:rPr>
              <w:t>We would suggest updating the definitions to reflect financial statement elements rather than identifying the disclosure requirements.</w:t>
            </w:r>
          </w:p>
        </w:tc>
      </w:tr>
      <w:tr w:rsidR="005B7602" w:rsidRPr="00812A8E" w14:paraId="17E27785" w14:textId="77777777" w:rsidTr="005B7602">
        <w:trPr>
          <w:trHeight w:val="116"/>
        </w:trPr>
        <w:tc>
          <w:tcPr>
            <w:tcW w:w="632" w:type="pct"/>
          </w:tcPr>
          <w:p w14:paraId="047649D7" w14:textId="00923658" w:rsidR="005B7602" w:rsidRPr="00812A8E" w:rsidRDefault="005B7602" w:rsidP="00B37858">
            <w:pPr>
              <w:pStyle w:val="Heading2"/>
              <w:keepNext w:val="0"/>
              <w:rPr>
                <w:rFonts w:ascii="Arial" w:hAnsi="Arial" w:cs="Arial"/>
                <w:b w:val="0"/>
                <w:bCs w:val="0"/>
                <w:sz w:val="20"/>
                <w:szCs w:val="20"/>
              </w:rPr>
            </w:pPr>
          </w:p>
        </w:tc>
        <w:tc>
          <w:tcPr>
            <w:tcW w:w="4368" w:type="pct"/>
          </w:tcPr>
          <w:p w14:paraId="71099693" w14:textId="381A2A7B" w:rsidR="005B7602" w:rsidRPr="00812A8E" w:rsidRDefault="005B7602" w:rsidP="00B37858">
            <w:pPr>
              <w:pStyle w:val="Default0"/>
              <w:rPr>
                <w:rFonts w:ascii="Arial" w:eastAsiaTheme="minorHAnsi" w:hAnsi="Arial" w:cs="Arial"/>
                <w:color w:val="auto"/>
                <w:sz w:val="20"/>
                <w:szCs w:val="20"/>
              </w:rPr>
            </w:pPr>
            <w:r w:rsidRPr="00812A8E">
              <w:rPr>
                <w:rFonts w:ascii="Arial" w:eastAsiaTheme="minorHAnsi" w:hAnsi="Arial" w:cs="Arial"/>
                <w:color w:val="auto"/>
                <w:sz w:val="20"/>
                <w:szCs w:val="20"/>
              </w:rPr>
              <w:t xml:space="preserve">The element should read:  </w:t>
            </w:r>
            <w:proofErr w:type="spellStart"/>
            <w:r w:rsidRPr="00812A8E">
              <w:rPr>
                <w:rFonts w:ascii="Arial" w:eastAsiaTheme="minorHAnsi" w:hAnsi="Arial" w:cs="Arial"/>
                <w:color w:val="auto"/>
                <w:sz w:val="20"/>
                <w:szCs w:val="20"/>
              </w:rPr>
              <w:t>FundBalanceDisclosures</w:t>
            </w:r>
            <w:proofErr w:type="spellEnd"/>
            <w:r w:rsidRPr="00812A8E">
              <w:rPr>
                <w:rFonts w:ascii="Arial" w:eastAsiaTheme="minorHAnsi" w:hAnsi="Arial" w:cs="Arial"/>
                <w:color w:val="auto"/>
                <w:sz w:val="20"/>
                <w:szCs w:val="20"/>
              </w:rPr>
              <w:t>.  A description should be included somewhere (here?) for nonexpendable fund balance.</w:t>
            </w:r>
          </w:p>
        </w:tc>
      </w:tr>
      <w:tr w:rsidR="005B7602" w:rsidRPr="00812A8E" w14:paraId="4161DC5A" w14:textId="77777777" w:rsidTr="005B7602">
        <w:trPr>
          <w:trHeight w:val="116"/>
        </w:trPr>
        <w:tc>
          <w:tcPr>
            <w:tcW w:w="632" w:type="pct"/>
          </w:tcPr>
          <w:p w14:paraId="6CF48436" w14:textId="77777777" w:rsidR="005B7602" w:rsidRPr="00812A8E" w:rsidRDefault="005B7602" w:rsidP="00B37858">
            <w:pPr>
              <w:pStyle w:val="Heading2"/>
              <w:keepNext w:val="0"/>
              <w:rPr>
                <w:rFonts w:ascii="Arial" w:hAnsi="Arial" w:cs="Arial"/>
                <w:b w:val="0"/>
                <w:bCs w:val="0"/>
                <w:sz w:val="20"/>
                <w:szCs w:val="20"/>
              </w:rPr>
            </w:pPr>
          </w:p>
        </w:tc>
        <w:tc>
          <w:tcPr>
            <w:tcW w:w="4368" w:type="pct"/>
          </w:tcPr>
          <w:p w14:paraId="1BC721A1" w14:textId="77777777" w:rsidR="005B7602" w:rsidRPr="00812A8E" w:rsidRDefault="005B7602" w:rsidP="00B37858">
            <w:pPr>
              <w:pStyle w:val="Default0"/>
              <w:rPr>
                <w:rFonts w:ascii="Arial" w:eastAsiaTheme="minorHAnsi" w:hAnsi="Arial" w:cs="Arial"/>
                <w:color w:val="auto"/>
                <w:sz w:val="20"/>
                <w:szCs w:val="20"/>
              </w:rPr>
            </w:pPr>
          </w:p>
        </w:tc>
      </w:tr>
      <w:tr w:rsidR="005B7602" w:rsidRPr="00812A8E" w14:paraId="4B1672FB" w14:textId="77777777" w:rsidTr="005B7602">
        <w:trPr>
          <w:trHeight w:val="116"/>
        </w:trPr>
        <w:tc>
          <w:tcPr>
            <w:tcW w:w="632" w:type="pct"/>
          </w:tcPr>
          <w:p w14:paraId="41F3A9EC" w14:textId="115D37C2" w:rsidR="005B7602" w:rsidRPr="00812A8E" w:rsidRDefault="005B7602" w:rsidP="00B37858">
            <w:pPr>
              <w:pStyle w:val="Heading2"/>
              <w:keepNext w:val="0"/>
              <w:rPr>
                <w:rFonts w:ascii="Arial" w:hAnsi="Arial" w:cs="Arial"/>
                <w:b w:val="0"/>
                <w:bCs w:val="0"/>
                <w:sz w:val="20"/>
                <w:szCs w:val="20"/>
              </w:rPr>
            </w:pPr>
            <w:r w:rsidRPr="00812A8E">
              <w:rPr>
                <w:rFonts w:ascii="Arial" w:hAnsi="Arial" w:cs="Arial"/>
                <w:b w:val="0"/>
                <w:bCs w:val="0"/>
                <w:sz w:val="20"/>
                <w:szCs w:val="20"/>
              </w:rPr>
              <w:t>79</w:t>
            </w:r>
          </w:p>
        </w:tc>
        <w:tc>
          <w:tcPr>
            <w:tcW w:w="4368" w:type="pct"/>
          </w:tcPr>
          <w:p w14:paraId="67BFFB3E" w14:textId="0F5E86BE" w:rsidR="005B7602" w:rsidRPr="00812A8E" w:rsidRDefault="005B7602" w:rsidP="00B37858">
            <w:pPr>
              <w:rPr>
                <w:rFonts w:ascii="Arial" w:hAnsi="Arial" w:cs="Arial"/>
                <w:color w:val="000000"/>
                <w:sz w:val="20"/>
                <w:szCs w:val="20"/>
              </w:rPr>
            </w:pPr>
            <w:r w:rsidRPr="00812A8E">
              <w:rPr>
                <w:rFonts w:ascii="Arial" w:hAnsi="Arial" w:cs="Arial"/>
                <w:color w:val="000000"/>
                <w:sz w:val="20"/>
                <w:szCs w:val="20"/>
              </w:rPr>
              <w:t>Description should state that general revenues should be reported after total net expense in the Government-wide Statement of Activities</w:t>
            </w:r>
          </w:p>
        </w:tc>
      </w:tr>
      <w:tr w:rsidR="005B7602" w:rsidRPr="00812A8E" w14:paraId="2CA92256" w14:textId="77777777" w:rsidTr="005B7602">
        <w:trPr>
          <w:trHeight w:val="116"/>
        </w:trPr>
        <w:tc>
          <w:tcPr>
            <w:tcW w:w="632" w:type="pct"/>
          </w:tcPr>
          <w:p w14:paraId="070C3A9E" w14:textId="77777777" w:rsidR="005B7602" w:rsidRPr="00812A8E" w:rsidRDefault="005B7602" w:rsidP="00B37858">
            <w:pPr>
              <w:pStyle w:val="Heading2"/>
              <w:keepNext w:val="0"/>
              <w:rPr>
                <w:rFonts w:ascii="Arial" w:hAnsi="Arial" w:cs="Arial"/>
                <w:b w:val="0"/>
                <w:bCs w:val="0"/>
                <w:sz w:val="20"/>
                <w:szCs w:val="20"/>
              </w:rPr>
            </w:pPr>
          </w:p>
        </w:tc>
        <w:tc>
          <w:tcPr>
            <w:tcW w:w="4368" w:type="pct"/>
          </w:tcPr>
          <w:p w14:paraId="3216B84D" w14:textId="77777777" w:rsidR="005B7602" w:rsidRPr="00812A8E" w:rsidRDefault="005B7602" w:rsidP="00B37858">
            <w:pPr>
              <w:pStyle w:val="Default0"/>
              <w:rPr>
                <w:rFonts w:ascii="Arial" w:eastAsiaTheme="minorHAnsi" w:hAnsi="Arial" w:cs="Arial"/>
                <w:color w:val="auto"/>
                <w:sz w:val="20"/>
                <w:szCs w:val="20"/>
              </w:rPr>
            </w:pPr>
          </w:p>
        </w:tc>
      </w:tr>
      <w:tr w:rsidR="005B7602" w:rsidRPr="00812A8E" w14:paraId="0391F8FF" w14:textId="77777777" w:rsidTr="005B7602">
        <w:trPr>
          <w:trHeight w:val="116"/>
        </w:trPr>
        <w:tc>
          <w:tcPr>
            <w:tcW w:w="632" w:type="pct"/>
          </w:tcPr>
          <w:p w14:paraId="2AF2C80B" w14:textId="266A13EA" w:rsidR="005B7602" w:rsidRPr="00812A8E" w:rsidRDefault="005B7602" w:rsidP="00B37858">
            <w:pPr>
              <w:pStyle w:val="Heading2"/>
              <w:keepNext w:val="0"/>
              <w:rPr>
                <w:rFonts w:ascii="Arial" w:hAnsi="Arial" w:cs="Arial"/>
                <w:b w:val="0"/>
                <w:bCs w:val="0"/>
                <w:sz w:val="20"/>
                <w:szCs w:val="20"/>
              </w:rPr>
            </w:pPr>
            <w:r w:rsidRPr="00812A8E">
              <w:rPr>
                <w:rFonts w:ascii="Arial" w:hAnsi="Arial" w:cs="Arial"/>
                <w:b w:val="0"/>
                <w:bCs w:val="0"/>
                <w:sz w:val="20"/>
                <w:szCs w:val="20"/>
              </w:rPr>
              <w:t>80</w:t>
            </w:r>
          </w:p>
        </w:tc>
        <w:tc>
          <w:tcPr>
            <w:tcW w:w="4368" w:type="pct"/>
          </w:tcPr>
          <w:p w14:paraId="4112A6B3" w14:textId="70ABF5E4" w:rsidR="005B7602" w:rsidRPr="00812A8E" w:rsidRDefault="005B7602" w:rsidP="00B37858">
            <w:pPr>
              <w:pStyle w:val="Default0"/>
              <w:rPr>
                <w:rFonts w:ascii="Arial" w:eastAsiaTheme="minorHAnsi" w:hAnsi="Arial" w:cs="Arial"/>
                <w:color w:val="auto"/>
                <w:sz w:val="20"/>
                <w:szCs w:val="20"/>
              </w:rPr>
            </w:pPr>
            <w:r w:rsidRPr="00812A8E">
              <w:rPr>
                <w:rFonts w:ascii="Arial" w:eastAsiaTheme="minorHAnsi" w:hAnsi="Arial" w:cs="Arial"/>
                <w:color w:val="auto"/>
                <w:sz w:val="20"/>
                <w:szCs w:val="20"/>
              </w:rPr>
              <w:t>What is abstract?  Why is the description the same as line 79?</w:t>
            </w:r>
          </w:p>
        </w:tc>
      </w:tr>
      <w:tr w:rsidR="005B7602" w:rsidRPr="00812A8E" w14:paraId="44344171" w14:textId="77777777" w:rsidTr="005B7602">
        <w:trPr>
          <w:trHeight w:val="116"/>
        </w:trPr>
        <w:tc>
          <w:tcPr>
            <w:tcW w:w="632" w:type="pct"/>
          </w:tcPr>
          <w:p w14:paraId="1021B016" w14:textId="77777777" w:rsidR="005B7602" w:rsidRPr="00812A8E" w:rsidRDefault="005B7602" w:rsidP="00B37858">
            <w:pPr>
              <w:pStyle w:val="Heading2"/>
              <w:keepNext w:val="0"/>
              <w:rPr>
                <w:rFonts w:ascii="Arial" w:hAnsi="Arial" w:cs="Arial"/>
                <w:b w:val="0"/>
                <w:bCs w:val="0"/>
                <w:sz w:val="20"/>
                <w:szCs w:val="20"/>
              </w:rPr>
            </w:pPr>
          </w:p>
        </w:tc>
        <w:tc>
          <w:tcPr>
            <w:tcW w:w="4368" w:type="pct"/>
          </w:tcPr>
          <w:p w14:paraId="2C89F978" w14:textId="77777777" w:rsidR="005B7602" w:rsidRPr="00812A8E" w:rsidRDefault="005B7602" w:rsidP="00B37858">
            <w:pPr>
              <w:pStyle w:val="Default0"/>
              <w:rPr>
                <w:rFonts w:ascii="Arial" w:eastAsiaTheme="minorHAnsi" w:hAnsi="Arial" w:cs="Arial"/>
                <w:color w:val="auto"/>
                <w:sz w:val="20"/>
                <w:szCs w:val="20"/>
              </w:rPr>
            </w:pPr>
          </w:p>
        </w:tc>
      </w:tr>
      <w:tr w:rsidR="005B7602" w:rsidRPr="00812A8E" w14:paraId="3E4FC08B" w14:textId="77777777" w:rsidTr="005B7602">
        <w:trPr>
          <w:trHeight w:val="116"/>
        </w:trPr>
        <w:tc>
          <w:tcPr>
            <w:tcW w:w="632" w:type="pct"/>
          </w:tcPr>
          <w:p w14:paraId="33A2506B" w14:textId="1E22EEB3" w:rsidR="005B7602" w:rsidRPr="00812A8E" w:rsidRDefault="005B7602" w:rsidP="00B37858">
            <w:pPr>
              <w:pStyle w:val="Heading2"/>
              <w:keepNext w:val="0"/>
              <w:rPr>
                <w:rFonts w:ascii="Arial" w:hAnsi="Arial" w:cs="Arial"/>
                <w:b w:val="0"/>
                <w:bCs w:val="0"/>
                <w:sz w:val="20"/>
                <w:szCs w:val="20"/>
              </w:rPr>
            </w:pPr>
            <w:r w:rsidRPr="00812A8E">
              <w:rPr>
                <w:rFonts w:ascii="Arial" w:hAnsi="Arial" w:cs="Arial"/>
                <w:b w:val="0"/>
                <w:bCs w:val="0"/>
                <w:sz w:val="20"/>
                <w:szCs w:val="20"/>
              </w:rPr>
              <w:t xml:space="preserve">83 </w:t>
            </w:r>
          </w:p>
        </w:tc>
        <w:tc>
          <w:tcPr>
            <w:tcW w:w="4368" w:type="pct"/>
          </w:tcPr>
          <w:p w14:paraId="4BC777E7" w14:textId="3EC0D4C4" w:rsidR="005B7602" w:rsidRPr="00812A8E" w:rsidRDefault="005B7602" w:rsidP="00B37858">
            <w:pPr>
              <w:pStyle w:val="Default0"/>
              <w:rPr>
                <w:rFonts w:ascii="Arial" w:eastAsiaTheme="minorHAnsi" w:hAnsi="Arial" w:cs="Arial"/>
                <w:color w:val="auto"/>
                <w:sz w:val="20"/>
                <w:szCs w:val="20"/>
              </w:rPr>
            </w:pPr>
            <w:r w:rsidRPr="00812A8E">
              <w:rPr>
                <w:rFonts w:ascii="Arial" w:eastAsiaTheme="minorHAnsi" w:hAnsi="Arial" w:cs="Arial"/>
                <w:color w:val="auto"/>
                <w:sz w:val="20"/>
                <w:szCs w:val="20"/>
              </w:rPr>
              <w:t>I assume this relates to the Government-wide Statement of Activities - this should be stated.</w:t>
            </w:r>
          </w:p>
        </w:tc>
      </w:tr>
      <w:tr w:rsidR="005B7602" w:rsidRPr="00812A8E" w14:paraId="0D23BB87" w14:textId="77777777" w:rsidTr="005B7602">
        <w:trPr>
          <w:trHeight w:val="116"/>
        </w:trPr>
        <w:tc>
          <w:tcPr>
            <w:tcW w:w="632" w:type="pct"/>
          </w:tcPr>
          <w:p w14:paraId="4BB1A60D" w14:textId="77777777" w:rsidR="005B7602" w:rsidRPr="00812A8E" w:rsidRDefault="005B7602" w:rsidP="00B37858">
            <w:pPr>
              <w:pStyle w:val="Heading2"/>
              <w:keepNext w:val="0"/>
              <w:rPr>
                <w:rFonts w:ascii="Arial" w:hAnsi="Arial" w:cs="Arial"/>
                <w:b w:val="0"/>
                <w:bCs w:val="0"/>
                <w:sz w:val="20"/>
                <w:szCs w:val="20"/>
              </w:rPr>
            </w:pPr>
          </w:p>
        </w:tc>
        <w:tc>
          <w:tcPr>
            <w:tcW w:w="4368" w:type="pct"/>
          </w:tcPr>
          <w:p w14:paraId="10D9C33D" w14:textId="77777777" w:rsidR="005B7602" w:rsidRPr="00812A8E" w:rsidRDefault="005B7602" w:rsidP="00B37858">
            <w:pPr>
              <w:pStyle w:val="Default0"/>
              <w:rPr>
                <w:rFonts w:ascii="Arial" w:eastAsiaTheme="minorHAnsi" w:hAnsi="Arial" w:cs="Arial"/>
                <w:color w:val="auto"/>
                <w:sz w:val="20"/>
                <w:szCs w:val="20"/>
              </w:rPr>
            </w:pPr>
          </w:p>
        </w:tc>
      </w:tr>
      <w:tr w:rsidR="005B7602" w:rsidRPr="00812A8E" w14:paraId="6D67F8BE" w14:textId="77777777" w:rsidTr="005B7602">
        <w:trPr>
          <w:trHeight w:val="116"/>
        </w:trPr>
        <w:tc>
          <w:tcPr>
            <w:tcW w:w="632" w:type="pct"/>
          </w:tcPr>
          <w:p w14:paraId="2EAC672F" w14:textId="4D3E84C9" w:rsidR="005B7602" w:rsidRPr="00812A8E" w:rsidRDefault="005B7602" w:rsidP="00B37858">
            <w:pPr>
              <w:pStyle w:val="Heading2"/>
              <w:keepNext w:val="0"/>
              <w:rPr>
                <w:rFonts w:ascii="Arial" w:hAnsi="Arial" w:cs="Arial"/>
                <w:b w:val="0"/>
                <w:bCs w:val="0"/>
                <w:sz w:val="20"/>
                <w:szCs w:val="20"/>
              </w:rPr>
            </w:pPr>
            <w:r w:rsidRPr="00812A8E">
              <w:rPr>
                <w:rFonts w:ascii="Arial" w:hAnsi="Arial" w:cs="Arial"/>
                <w:b w:val="0"/>
                <w:bCs w:val="0"/>
                <w:sz w:val="20"/>
                <w:szCs w:val="20"/>
              </w:rPr>
              <w:t>84</w:t>
            </w:r>
          </w:p>
        </w:tc>
        <w:tc>
          <w:tcPr>
            <w:tcW w:w="4368" w:type="pct"/>
          </w:tcPr>
          <w:p w14:paraId="27A483FB" w14:textId="38D2654D" w:rsidR="005B7602" w:rsidRPr="00812A8E" w:rsidRDefault="005B7602" w:rsidP="00B37858">
            <w:pPr>
              <w:rPr>
                <w:rFonts w:ascii="Arial" w:hAnsi="Arial" w:cs="Arial"/>
                <w:color w:val="000000"/>
                <w:sz w:val="20"/>
                <w:szCs w:val="20"/>
              </w:rPr>
            </w:pPr>
            <w:r w:rsidRPr="00812A8E">
              <w:rPr>
                <w:rFonts w:ascii="Arial" w:hAnsi="Arial" w:cs="Arial"/>
                <w:color w:val="000000"/>
                <w:sz w:val="20"/>
                <w:szCs w:val="20"/>
              </w:rPr>
              <w:t>We suggest limiting the definition to the second sentence. Consider also including GASB Cod. 1300.104 -.108 as a source.</w:t>
            </w:r>
          </w:p>
        </w:tc>
      </w:tr>
      <w:tr w:rsidR="005B7602" w:rsidRPr="00812A8E" w14:paraId="607131E0" w14:textId="77777777" w:rsidTr="005B7602">
        <w:trPr>
          <w:trHeight w:val="116"/>
        </w:trPr>
        <w:tc>
          <w:tcPr>
            <w:tcW w:w="632" w:type="pct"/>
          </w:tcPr>
          <w:p w14:paraId="5A68E90E" w14:textId="77777777" w:rsidR="005B7602" w:rsidRPr="00812A8E" w:rsidRDefault="005B7602" w:rsidP="00B37858">
            <w:pPr>
              <w:pStyle w:val="Heading2"/>
              <w:keepNext w:val="0"/>
              <w:rPr>
                <w:rFonts w:ascii="Arial" w:hAnsi="Arial" w:cs="Arial"/>
                <w:b w:val="0"/>
                <w:bCs w:val="0"/>
                <w:sz w:val="20"/>
                <w:szCs w:val="20"/>
              </w:rPr>
            </w:pPr>
          </w:p>
        </w:tc>
        <w:tc>
          <w:tcPr>
            <w:tcW w:w="4368" w:type="pct"/>
          </w:tcPr>
          <w:p w14:paraId="6E6CD696" w14:textId="77777777" w:rsidR="005B7602" w:rsidRPr="00812A8E" w:rsidRDefault="005B7602" w:rsidP="00B37858">
            <w:pPr>
              <w:rPr>
                <w:rFonts w:ascii="Arial" w:hAnsi="Arial" w:cs="Arial"/>
                <w:color w:val="000000"/>
                <w:sz w:val="20"/>
                <w:szCs w:val="20"/>
              </w:rPr>
            </w:pPr>
          </w:p>
        </w:tc>
      </w:tr>
      <w:tr w:rsidR="005B7602" w:rsidRPr="00812A8E" w14:paraId="575378E3" w14:textId="77777777" w:rsidTr="005B7602">
        <w:trPr>
          <w:trHeight w:val="116"/>
        </w:trPr>
        <w:tc>
          <w:tcPr>
            <w:tcW w:w="632" w:type="pct"/>
          </w:tcPr>
          <w:p w14:paraId="7C6FC99C" w14:textId="50D9B3DC" w:rsidR="005B7602" w:rsidRPr="00812A8E" w:rsidRDefault="005B7602" w:rsidP="00B37858">
            <w:pPr>
              <w:pStyle w:val="Heading2"/>
              <w:keepNext w:val="0"/>
              <w:rPr>
                <w:rFonts w:ascii="Arial" w:hAnsi="Arial" w:cs="Arial"/>
                <w:b w:val="0"/>
                <w:bCs w:val="0"/>
                <w:sz w:val="20"/>
                <w:szCs w:val="20"/>
              </w:rPr>
            </w:pPr>
            <w:r w:rsidRPr="00812A8E">
              <w:rPr>
                <w:rFonts w:ascii="Arial" w:hAnsi="Arial" w:cs="Arial"/>
                <w:b w:val="0"/>
                <w:bCs w:val="0"/>
                <w:sz w:val="20"/>
                <w:szCs w:val="20"/>
              </w:rPr>
              <w:t>86</w:t>
            </w:r>
          </w:p>
        </w:tc>
        <w:tc>
          <w:tcPr>
            <w:tcW w:w="4368" w:type="pct"/>
          </w:tcPr>
          <w:p w14:paraId="0F47FA21" w14:textId="5CD50203" w:rsidR="005B7602" w:rsidRPr="00812A8E" w:rsidRDefault="005B7602" w:rsidP="00B37858">
            <w:pPr>
              <w:rPr>
                <w:rFonts w:ascii="Arial" w:hAnsi="Arial" w:cs="Arial"/>
                <w:color w:val="000000"/>
                <w:sz w:val="20"/>
                <w:szCs w:val="20"/>
              </w:rPr>
            </w:pPr>
            <w:r w:rsidRPr="00812A8E">
              <w:rPr>
                <w:rFonts w:ascii="Arial" w:hAnsi="Arial" w:cs="Arial"/>
                <w:color w:val="000000"/>
                <w:sz w:val="20"/>
                <w:szCs w:val="20"/>
              </w:rPr>
              <w:t>Is this element addressing a program?  Including all financial statement programs/functions for the statement activities would be a challenge as these elements can vary by entity.</w:t>
            </w:r>
          </w:p>
        </w:tc>
      </w:tr>
      <w:tr w:rsidR="005B7602" w:rsidRPr="00812A8E" w14:paraId="2B2A75AC" w14:textId="77777777" w:rsidTr="005B7602">
        <w:trPr>
          <w:trHeight w:val="116"/>
        </w:trPr>
        <w:tc>
          <w:tcPr>
            <w:tcW w:w="632" w:type="pct"/>
          </w:tcPr>
          <w:p w14:paraId="387A047E" w14:textId="77777777" w:rsidR="005B7602" w:rsidRPr="00812A8E" w:rsidRDefault="005B7602" w:rsidP="00B37858">
            <w:pPr>
              <w:pStyle w:val="Heading2"/>
              <w:keepNext w:val="0"/>
              <w:rPr>
                <w:rFonts w:ascii="Arial" w:hAnsi="Arial" w:cs="Arial"/>
                <w:b w:val="0"/>
                <w:bCs w:val="0"/>
                <w:sz w:val="20"/>
                <w:szCs w:val="20"/>
              </w:rPr>
            </w:pPr>
          </w:p>
        </w:tc>
        <w:tc>
          <w:tcPr>
            <w:tcW w:w="4368" w:type="pct"/>
          </w:tcPr>
          <w:p w14:paraId="106FC6CE" w14:textId="77777777" w:rsidR="005B7602" w:rsidRPr="00812A8E" w:rsidRDefault="005B7602" w:rsidP="00B37858">
            <w:pPr>
              <w:rPr>
                <w:rFonts w:ascii="Arial" w:hAnsi="Arial" w:cs="Arial"/>
                <w:color w:val="000000"/>
                <w:sz w:val="20"/>
                <w:szCs w:val="20"/>
              </w:rPr>
            </w:pPr>
          </w:p>
        </w:tc>
      </w:tr>
      <w:tr w:rsidR="005B7602" w:rsidRPr="00812A8E" w14:paraId="4BC9FCA0" w14:textId="77777777" w:rsidTr="005B7602">
        <w:trPr>
          <w:trHeight w:val="116"/>
        </w:trPr>
        <w:tc>
          <w:tcPr>
            <w:tcW w:w="632" w:type="pct"/>
          </w:tcPr>
          <w:p w14:paraId="17AA2A3E" w14:textId="2E9EC1F4" w:rsidR="005B7602" w:rsidRPr="00812A8E" w:rsidRDefault="005B7602" w:rsidP="00B37858">
            <w:pPr>
              <w:pStyle w:val="Heading2"/>
              <w:keepNext w:val="0"/>
              <w:rPr>
                <w:rFonts w:ascii="Arial" w:hAnsi="Arial" w:cs="Arial"/>
                <w:b w:val="0"/>
                <w:bCs w:val="0"/>
                <w:sz w:val="20"/>
                <w:szCs w:val="20"/>
              </w:rPr>
            </w:pPr>
            <w:r w:rsidRPr="00812A8E">
              <w:rPr>
                <w:rFonts w:ascii="Arial" w:hAnsi="Arial" w:cs="Arial"/>
                <w:b w:val="0"/>
                <w:bCs w:val="0"/>
                <w:sz w:val="20"/>
                <w:szCs w:val="20"/>
              </w:rPr>
              <w:t xml:space="preserve">87 </w:t>
            </w:r>
          </w:p>
        </w:tc>
        <w:tc>
          <w:tcPr>
            <w:tcW w:w="4368" w:type="pct"/>
          </w:tcPr>
          <w:p w14:paraId="42D3A0BB" w14:textId="508C0BD6" w:rsidR="005B7602" w:rsidRPr="00812A8E" w:rsidRDefault="005B7602" w:rsidP="00B37858">
            <w:pPr>
              <w:rPr>
                <w:rFonts w:ascii="Arial" w:hAnsi="Arial" w:cs="Arial"/>
                <w:color w:val="000000"/>
                <w:sz w:val="20"/>
                <w:szCs w:val="20"/>
              </w:rPr>
            </w:pPr>
            <w:r w:rsidRPr="00812A8E">
              <w:rPr>
                <w:rFonts w:ascii="Arial" w:hAnsi="Arial" w:cs="Arial"/>
                <w:color w:val="000000"/>
                <w:sz w:val="20"/>
                <w:szCs w:val="20"/>
              </w:rPr>
              <w:t>No description?</w:t>
            </w:r>
          </w:p>
        </w:tc>
      </w:tr>
      <w:tr w:rsidR="005B7602" w:rsidRPr="00812A8E" w14:paraId="45D63BC5" w14:textId="77777777" w:rsidTr="005B7602">
        <w:trPr>
          <w:trHeight w:val="116"/>
        </w:trPr>
        <w:tc>
          <w:tcPr>
            <w:tcW w:w="632" w:type="pct"/>
          </w:tcPr>
          <w:p w14:paraId="514A6B99" w14:textId="77777777" w:rsidR="005B7602" w:rsidRPr="00812A8E" w:rsidRDefault="005B7602" w:rsidP="00B37858">
            <w:pPr>
              <w:pStyle w:val="Heading2"/>
              <w:keepNext w:val="0"/>
              <w:rPr>
                <w:rFonts w:ascii="Arial" w:hAnsi="Arial" w:cs="Arial"/>
                <w:b w:val="0"/>
                <w:bCs w:val="0"/>
                <w:sz w:val="20"/>
                <w:szCs w:val="20"/>
              </w:rPr>
            </w:pPr>
          </w:p>
        </w:tc>
        <w:tc>
          <w:tcPr>
            <w:tcW w:w="4368" w:type="pct"/>
          </w:tcPr>
          <w:p w14:paraId="621E775E" w14:textId="77777777" w:rsidR="005B7602" w:rsidRPr="00812A8E" w:rsidRDefault="005B7602" w:rsidP="00B37858">
            <w:pPr>
              <w:pStyle w:val="Default0"/>
              <w:rPr>
                <w:rFonts w:ascii="Arial" w:eastAsiaTheme="minorHAnsi" w:hAnsi="Arial" w:cs="Arial"/>
                <w:color w:val="auto"/>
                <w:sz w:val="20"/>
                <w:szCs w:val="20"/>
              </w:rPr>
            </w:pPr>
          </w:p>
        </w:tc>
      </w:tr>
      <w:tr w:rsidR="005B7602" w:rsidRPr="00812A8E" w14:paraId="3255A4E8" w14:textId="77777777" w:rsidTr="005B7602">
        <w:trPr>
          <w:trHeight w:val="116"/>
        </w:trPr>
        <w:tc>
          <w:tcPr>
            <w:tcW w:w="632" w:type="pct"/>
          </w:tcPr>
          <w:p w14:paraId="46BFE09D" w14:textId="2443ED8E" w:rsidR="005B7602" w:rsidRPr="00812A8E" w:rsidRDefault="005B7602" w:rsidP="00B37858">
            <w:pPr>
              <w:pStyle w:val="Heading2"/>
              <w:keepNext w:val="0"/>
              <w:rPr>
                <w:rFonts w:ascii="Arial" w:hAnsi="Arial" w:cs="Arial"/>
                <w:b w:val="0"/>
                <w:bCs w:val="0"/>
                <w:sz w:val="20"/>
                <w:szCs w:val="20"/>
              </w:rPr>
            </w:pPr>
            <w:r w:rsidRPr="00812A8E">
              <w:rPr>
                <w:rFonts w:ascii="Arial" w:hAnsi="Arial" w:cs="Arial"/>
                <w:b w:val="0"/>
                <w:bCs w:val="0"/>
                <w:sz w:val="20"/>
                <w:szCs w:val="20"/>
              </w:rPr>
              <w:t>88</w:t>
            </w:r>
          </w:p>
        </w:tc>
        <w:tc>
          <w:tcPr>
            <w:tcW w:w="4368" w:type="pct"/>
          </w:tcPr>
          <w:p w14:paraId="323EE7F6" w14:textId="584F126A" w:rsidR="005B7602" w:rsidRPr="00812A8E" w:rsidRDefault="005B7602" w:rsidP="00B37858">
            <w:pPr>
              <w:rPr>
                <w:rFonts w:ascii="Arial" w:hAnsi="Arial" w:cs="Arial"/>
                <w:color w:val="000000"/>
                <w:sz w:val="20"/>
                <w:szCs w:val="20"/>
              </w:rPr>
            </w:pPr>
            <w:r w:rsidRPr="00812A8E">
              <w:rPr>
                <w:rFonts w:ascii="Arial" w:hAnsi="Arial" w:cs="Arial"/>
                <w:color w:val="000000"/>
                <w:sz w:val="20"/>
                <w:szCs w:val="20"/>
              </w:rPr>
              <w:t>No description?</w:t>
            </w:r>
          </w:p>
        </w:tc>
      </w:tr>
      <w:tr w:rsidR="005B7602" w:rsidRPr="00812A8E" w14:paraId="347FD87C" w14:textId="77777777" w:rsidTr="005B7602">
        <w:trPr>
          <w:trHeight w:val="116"/>
        </w:trPr>
        <w:tc>
          <w:tcPr>
            <w:tcW w:w="632" w:type="pct"/>
          </w:tcPr>
          <w:p w14:paraId="4A5131E4" w14:textId="77777777" w:rsidR="005B7602" w:rsidRPr="00812A8E" w:rsidRDefault="005B7602" w:rsidP="00B37858">
            <w:pPr>
              <w:pStyle w:val="Heading2"/>
              <w:keepNext w:val="0"/>
              <w:rPr>
                <w:rFonts w:ascii="Arial" w:hAnsi="Arial" w:cs="Arial"/>
                <w:b w:val="0"/>
                <w:bCs w:val="0"/>
                <w:sz w:val="20"/>
                <w:szCs w:val="20"/>
              </w:rPr>
            </w:pPr>
          </w:p>
        </w:tc>
        <w:tc>
          <w:tcPr>
            <w:tcW w:w="4368" w:type="pct"/>
          </w:tcPr>
          <w:p w14:paraId="51408D76" w14:textId="77777777" w:rsidR="005B7602" w:rsidRPr="00812A8E" w:rsidRDefault="005B7602" w:rsidP="00B37858">
            <w:pPr>
              <w:pStyle w:val="Default0"/>
              <w:rPr>
                <w:rFonts w:ascii="Arial" w:eastAsiaTheme="minorHAnsi" w:hAnsi="Arial" w:cs="Arial"/>
                <w:color w:val="auto"/>
                <w:sz w:val="20"/>
                <w:szCs w:val="20"/>
              </w:rPr>
            </w:pPr>
          </w:p>
        </w:tc>
      </w:tr>
      <w:tr w:rsidR="005B7602" w:rsidRPr="00812A8E" w14:paraId="6F857530" w14:textId="77777777" w:rsidTr="005B7602">
        <w:trPr>
          <w:trHeight w:val="116"/>
        </w:trPr>
        <w:tc>
          <w:tcPr>
            <w:tcW w:w="632" w:type="pct"/>
          </w:tcPr>
          <w:p w14:paraId="296FFD62" w14:textId="4ED1DE9A" w:rsidR="005B7602" w:rsidRPr="00812A8E" w:rsidRDefault="005B7602" w:rsidP="00B37858">
            <w:pPr>
              <w:pStyle w:val="Heading2"/>
              <w:keepNext w:val="0"/>
              <w:rPr>
                <w:rFonts w:ascii="Arial" w:hAnsi="Arial" w:cs="Arial"/>
                <w:b w:val="0"/>
                <w:bCs w:val="0"/>
                <w:sz w:val="20"/>
                <w:szCs w:val="20"/>
              </w:rPr>
            </w:pPr>
            <w:r w:rsidRPr="00812A8E">
              <w:rPr>
                <w:rFonts w:ascii="Arial" w:hAnsi="Arial" w:cs="Arial"/>
                <w:b w:val="0"/>
                <w:bCs w:val="0"/>
                <w:sz w:val="20"/>
                <w:szCs w:val="20"/>
              </w:rPr>
              <w:t>89</w:t>
            </w:r>
          </w:p>
        </w:tc>
        <w:tc>
          <w:tcPr>
            <w:tcW w:w="4368" w:type="pct"/>
          </w:tcPr>
          <w:p w14:paraId="03B27029" w14:textId="08ABE94C" w:rsidR="005B7602" w:rsidRPr="00812A8E" w:rsidRDefault="005B7602" w:rsidP="00B37858">
            <w:pPr>
              <w:pStyle w:val="Default0"/>
              <w:rPr>
                <w:rFonts w:ascii="Arial" w:eastAsiaTheme="minorHAnsi" w:hAnsi="Arial" w:cs="Arial"/>
                <w:color w:val="auto"/>
                <w:sz w:val="20"/>
                <w:szCs w:val="20"/>
              </w:rPr>
            </w:pPr>
            <w:r w:rsidRPr="00812A8E">
              <w:rPr>
                <w:rFonts w:ascii="Arial" w:eastAsiaTheme="minorHAnsi" w:hAnsi="Arial" w:cs="Arial"/>
                <w:color w:val="auto"/>
                <w:sz w:val="20"/>
                <w:szCs w:val="20"/>
              </w:rPr>
              <w:t>We suggest replacing the definition with, “Interest payments on debt and fees paid for services rendered in relation to paying interest and redeeming debt.”</w:t>
            </w:r>
          </w:p>
        </w:tc>
      </w:tr>
      <w:tr w:rsidR="005B7602" w:rsidRPr="00812A8E" w14:paraId="57673BAC" w14:textId="77777777" w:rsidTr="005B7602">
        <w:trPr>
          <w:trHeight w:val="116"/>
        </w:trPr>
        <w:tc>
          <w:tcPr>
            <w:tcW w:w="632" w:type="pct"/>
          </w:tcPr>
          <w:p w14:paraId="77EC304B" w14:textId="77777777" w:rsidR="005B7602" w:rsidRPr="00812A8E" w:rsidRDefault="005B7602" w:rsidP="00B37858">
            <w:pPr>
              <w:pStyle w:val="Heading2"/>
              <w:keepNext w:val="0"/>
              <w:rPr>
                <w:rFonts w:ascii="Arial" w:hAnsi="Arial" w:cs="Arial"/>
                <w:b w:val="0"/>
                <w:bCs w:val="0"/>
                <w:sz w:val="20"/>
                <w:szCs w:val="20"/>
              </w:rPr>
            </w:pPr>
          </w:p>
        </w:tc>
        <w:tc>
          <w:tcPr>
            <w:tcW w:w="4368" w:type="pct"/>
          </w:tcPr>
          <w:p w14:paraId="60B9EA88" w14:textId="77777777" w:rsidR="005B7602" w:rsidRPr="00812A8E" w:rsidRDefault="005B7602" w:rsidP="00B37858">
            <w:pPr>
              <w:pStyle w:val="Default0"/>
              <w:rPr>
                <w:rFonts w:ascii="Arial" w:eastAsiaTheme="minorHAnsi" w:hAnsi="Arial" w:cs="Arial"/>
                <w:color w:val="auto"/>
                <w:sz w:val="20"/>
                <w:szCs w:val="20"/>
              </w:rPr>
            </w:pPr>
          </w:p>
        </w:tc>
      </w:tr>
      <w:tr w:rsidR="005B7602" w:rsidRPr="00812A8E" w14:paraId="4BB106A4" w14:textId="77777777" w:rsidTr="005B7602">
        <w:trPr>
          <w:trHeight w:val="116"/>
        </w:trPr>
        <w:tc>
          <w:tcPr>
            <w:tcW w:w="632" w:type="pct"/>
          </w:tcPr>
          <w:p w14:paraId="27A0E71D" w14:textId="215D31E1" w:rsidR="005B7602" w:rsidRPr="00812A8E" w:rsidRDefault="005B7602" w:rsidP="00B37858">
            <w:pPr>
              <w:pStyle w:val="Heading2"/>
              <w:keepNext w:val="0"/>
              <w:rPr>
                <w:rFonts w:ascii="Arial" w:hAnsi="Arial" w:cs="Arial"/>
                <w:b w:val="0"/>
                <w:bCs w:val="0"/>
                <w:sz w:val="20"/>
                <w:szCs w:val="20"/>
              </w:rPr>
            </w:pPr>
            <w:r w:rsidRPr="00812A8E">
              <w:rPr>
                <w:rFonts w:ascii="Arial" w:hAnsi="Arial" w:cs="Arial"/>
                <w:b w:val="0"/>
                <w:bCs w:val="0"/>
                <w:sz w:val="20"/>
                <w:szCs w:val="20"/>
              </w:rPr>
              <w:t>90</w:t>
            </w:r>
          </w:p>
        </w:tc>
        <w:tc>
          <w:tcPr>
            <w:tcW w:w="4368" w:type="pct"/>
          </w:tcPr>
          <w:p w14:paraId="3ACFA9C7" w14:textId="6B0F89C5" w:rsidR="005B7602" w:rsidRPr="00812A8E" w:rsidRDefault="005B7602" w:rsidP="00B37858">
            <w:pPr>
              <w:pStyle w:val="Default0"/>
              <w:rPr>
                <w:rFonts w:ascii="Arial" w:eastAsiaTheme="minorHAnsi" w:hAnsi="Arial" w:cs="Arial"/>
                <w:color w:val="auto"/>
                <w:sz w:val="20"/>
                <w:szCs w:val="20"/>
              </w:rPr>
            </w:pPr>
            <w:r w:rsidRPr="00812A8E">
              <w:rPr>
                <w:rFonts w:ascii="Arial" w:eastAsiaTheme="minorHAnsi" w:hAnsi="Arial" w:cs="Arial"/>
                <w:color w:val="auto"/>
                <w:sz w:val="20"/>
                <w:szCs w:val="20"/>
              </w:rPr>
              <w:t>No description?</w:t>
            </w:r>
          </w:p>
        </w:tc>
      </w:tr>
      <w:tr w:rsidR="005B7602" w:rsidRPr="00812A8E" w14:paraId="072C2EB9" w14:textId="77777777" w:rsidTr="005B7602">
        <w:trPr>
          <w:trHeight w:val="116"/>
        </w:trPr>
        <w:tc>
          <w:tcPr>
            <w:tcW w:w="632" w:type="pct"/>
          </w:tcPr>
          <w:p w14:paraId="72CCE522" w14:textId="77777777" w:rsidR="005B7602" w:rsidRPr="00812A8E" w:rsidRDefault="005B7602" w:rsidP="00B37858">
            <w:pPr>
              <w:pStyle w:val="Heading2"/>
              <w:keepNext w:val="0"/>
              <w:rPr>
                <w:rFonts w:ascii="Arial" w:hAnsi="Arial" w:cs="Arial"/>
                <w:b w:val="0"/>
                <w:bCs w:val="0"/>
                <w:sz w:val="20"/>
                <w:szCs w:val="20"/>
              </w:rPr>
            </w:pPr>
          </w:p>
        </w:tc>
        <w:tc>
          <w:tcPr>
            <w:tcW w:w="4368" w:type="pct"/>
          </w:tcPr>
          <w:p w14:paraId="6446B21F" w14:textId="77777777" w:rsidR="005B7602" w:rsidRPr="00812A8E" w:rsidRDefault="005B7602" w:rsidP="00B37858">
            <w:pPr>
              <w:pStyle w:val="Default0"/>
              <w:rPr>
                <w:rFonts w:ascii="Arial" w:eastAsiaTheme="minorHAnsi" w:hAnsi="Arial" w:cs="Arial"/>
                <w:color w:val="auto"/>
                <w:sz w:val="20"/>
                <w:szCs w:val="20"/>
              </w:rPr>
            </w:pPr>
          </w:p>
        </w:tc>
      </w:tr>
      <w:tr w:rsidR="005B7602" w:rsidRPr="00812A8E" w14:paraId="31A5604E" w14:textId="77777777" w:rsidTr="005B7602">
        <w:trPr>
          <w:trHeight w:val="116"/>
        </w:trPr>
        <w:tc>
          <w:tcPr>
            <w:tcW w:w="632" w:type="pct"/>
          </w:tcPr>
          <w:p w14:paraId="15AFA4F2" w14:textId="7646C36D" w:rsidR="005B7602" w:rsidRPr="00812A8E" w:rsidRDefault="005B7602" w:rsidP="00B37858">
            <w:pPr>
              <w:pStyle w:val="Heading2"/>
              <w:keepNext w:val="0"/>
              <w:rPr>
                <w:rFonts w:ascii="Arial" w:hAnsi="Arial" w:cs="Arial"/>
                <w:b w:val="0"/>
                <w:bCs w:val="0"/>
                <w:sz w:val="20"/>
                <w:szCs w:val="20"/>
              </w:rPr>
            </w:pPr>
            <w:r w:rsidRPr="00812A8E">
              <w:rPr>
                <w:rFonts w:ascii="Arial" w:hAnsi="Arial" w:cs="Arial"/>
                <w:b w:val="0"/>
                <w:bCs w:val="0"/>
                <w:sz w:val="20"/>
                <w:szCs w:val="20"/>
              </w:rPr>
              <w:t>91</w:t>
            </w:r>
          </w:p>
        </w:tc>
        <w:tc>
          <w:tcPr>
            <w:tcW w:w="4368" w:type="pct"/>
          </w:tcPr>
          <w:p w14:paraId="51CFF2E0" w14:textId="6D2FAD10" w:rsidR="005B7602" w:rsidRPr="00812A8E" w:rsidRDefault="005B7602" w:rsidP="00B37858">
            <w:pPr>
              <w:pStyle w:val="Default0"/>
              <w:rPr>
                <w:rFonts w:ascii="Arial" w:eastAsiaTheme="minorHAnsi" w:hAnsi="Arial" w:cs="Arial"/>
                <w:color w:val="auto"/>
                <w:sz w:val="20"/>
                <w:szCs w:val="20"/>
              </w:rPr>
            </w:pPr>
            <w:r w:rsidRPr="00812A8E">
              <w:rPr>
                <w:rFonts w:ascii="Arial" w:eastAsiaTheme="minorHAnsi" w:hAnsi="Arial" w:cs="Arial"/>
                <w:color w:val="auto"/>
                <w:sz w:val="20"/>
                <w:szCs w:val="20"/>
              </w:rPr>
              <w:t>Internal Balances Asset/(Liability) – the description incorrectly refers to the “Statement of Net Assets” rather than the “Statement of Net Position.”</w:t>
            </w:r>
          </w:p>
        </w:tc>
      </w:tr>
      <w:tr w:rsidR="005B7602" w:rsidRPr="00812A8E" w14:paraId="26097E5D" w14:textId="77777777" w:rsidTr="005B7602">
        <w:trPr>
          <w:trHeight w:val="116"/>
        </w:trPr>
        <w:tc>
          <w:tcPr>
            <w:tcW w:w="632" w:type="pct"/>
          </w:tcPr>
          <w:p w14:paraId="67DD0FF9" w14:textId="77777777" w:rsidR="005B7602" w:rsidRPr="00812A8E" w:rsidRDefault="005B7602" w:rsidP="00B37858">
            <w:pPr>
              <w:pStyle w:val="Heading2"/>
              <w:keepNext w:val="0"/>
              <w:rPr>
                <w:rFonts w:ascii="Arial" w:hAnsi="Arial" w:cs="Arial"/>
                <w:b w:val="0"/>
                <w:bCs w:val="0"/>
                <w:sz w:val="20"/>
                <w:szCs w:val="20"/>
              </w:rPr>
            </w:pPr>
          </w:p>
        </w:tc>
        <w:tc>
          <w:tcPr>
            <w:tcW w:w="4368" w:type="pct"/>
          </w:tcPr>
          <w:p w14:paraId="66109AA4" w14:textId="77777777" w:rsidR="005B7602" w:rsidRPr="00812A8E" w:rsidRDefault="005B7602" w:rsidP="00B37858">
            <w:pPr>
              <w:pStyle w:val="Default0"/>
              <w:rPr>
                <w:rFonts w:ascii="Arial" w:eastAsiaTheme="minorHAnsi" w:hAnsi="Arial" w:cs="Arial"/>
                <w:color w:val="auto"/>
                <w:sz w:val="20"/>
                <w:szCs w:val="20"/>
              </w:rPr>
            </w:pPr>
          </w:p>
        </w:tc>
      </w:tr>
      <w:tr w:rsidR="005B7602" w:rsidRPr="00812A8E" w14:paraId="138CBAAC" w14:textId="77777777" w:rsidTr="005B7602">
        <w:trPr>
          <w:trHeight w:val="116"/>
        </w:trPr>
        <w:tc>
          <w:tcPr>
            <w:tcW w:w="632" w:type="pct"/>
          </w:tcPr>
          <w:p w14:paraId="56E7521D" w14:textId="4E104BBB" w:rsidR="005B7602" w:rsidRPr="00812A8E" w:rsidRDefault="005B7602" w:rsidP="00B37858">
            <w:pPr>
              <w:pStyle w:val="Heading2"/>
              <w:keepNext w:val="0"/>
              <w:rPr>
                <w:rFonts w:ascii="Arial" w:hAnsi="Arial" w:cs="Arial"/>
                <w:b w:val="0"/>
                <w:bCs w:val="0"/>
                <w:sz w:val="20"/>
                <w:szCs w:val="20"/>
              </w:rPr>
            </w:pPr>
            <w:r w:rsidRPr="00812A8E">
              <w:rPr>
                <w:rFonts w:ascii="Arial" w:hAnsi="Arial" w:cs="Arial"/>
                <w:b w:val="0"/>
                <w:bCs w:val="0"/>
                <w:sz w:val="20"/>
                <w:szCs w:val="20"/>
              </w:rPr>
              <w:t>94</w:t>
            </w:r>
          </w:p>
        </w:tc>
        <w:tc>
          <w:tcPr>
            <w:tcW w:w="4368" w:type="pct"/>
          </w:tcPr>
          <w:p w14:paraId="2E126A82" w14:textId="21DEC978" w:rsidR="005B7602" w:rsidRPr="00812A8E" w:rsidRDefault="005B7602" w:rsidP="00B37858">
            <w:pPr>
              <w:rPr>
                <w:rFonts w:ascii="Arial" w:hAnsi="Arial" w:cs="Arial"/>
                <w:sz w:val="20"/>
                <w:szCs w:val="20"/>
              </w:rPr>
            </w:pPr>
            <w:r w:rsidRPr="00812A8E">
              <w:rPr>
                <w:rFonts w:ascii="Arial" w:hAnsi="Arial" w:cs="Arial"/>
                <w:sz w:val="20"/>
                <w:szCs w:val="20"/>
              </w:rPr>
              <w:t>Investment Income – the description does not appear accurate or consistent with GASB pronouncements which generally describe investment income as interest, dividends, and changes in fair value. However, no professional reference is provided for this item to determine its source. We suggest XBRL US review the description to ensure it is consistent with GASB pronouncements and provide appropriate professional references.</w:t>
            </w:r>
          </w:p>
        </w:tc>
      </w:tr>
      <w:tr w:rsidR="005B7602" w:rsidRPr="00812A8E" w14:paraId="2480EF7C" w14:textId="77777777" w:rsidTr="005B7602">
        <w:trPr>
          <w:trHeight w:val="116"/>
        </w:trPr>
        <w:tc>
          <w:tcPr>
            <w:tcW w:w="632" w:type="pct"/>
          </w:tcPr>
          <w:p w14:paraId="015ACB59" w14:textId="043B7D1A" w:rsidR="005B7602" w:rsidRPr="00812A8E" w:rsidRDefault="005B7602" w:rsidP="00B37858">
            <w:pPr>
              <w:pStyle w:val="Heading2"/>
              <w:keepNext w:val="0"/>
              <w:rPr>
                <w:rFonts w:ascii="Arial" w:hAnsi="Arial" w:cs="Arial"/>
                <w:b w:val="0"/>
                <w:bCs w:val="0"/>
                <w:sz w:val="20"/>
                <w:szCs w:val="20"/>
              </w:rPr>
            </w:pPr>
          </w:p>
        </w:tc>
        <w:tc>
          <w:tcPr>
            <w:tcW w:w="4368" w:type="pct"/>
          </w:tcPr>
          <w:p w14:paraId="5EFCD4EA" w14:textId="7B11EE2A" w:rsidR="005B7602" w:rsidRPr="00812A8E" w:rsidRDefault="005B7602" w:rsidP="00B37858">
            <w:pPr>
              <w:pStyle w:val="Default0"/>
              <w:rPr>
                <w:rFonts w:ascii="Arial" w:eastAsiaTheme="minorHAnsi" w:hAnsi="Arial" w:cs="Arial"/>
                <w:color w:val="auto"/>
                <w:sz w:val="20"/>
                <w:szCs w:val="20"/>
              </w:rPr>
            </w:pPr>
            <w:r w:rsidRPr="00812A8E">
              <w:rPr>
                <w:rFonts w:ascii="Arial" w:eastAsiaTheme="minorHAnsi" w:hAnsi="Arial" w:cs="Arial"/>
                <w:color w:val="auto"/>
                <w:sz w:val="20"/>
                <w:szCs w:val="20"/>
              </w:rPr>
              <w:t>We suggest replacing the definition with, “Compensation for the use of financial resources over a period of time.”</w:t>
            </w:r>
          </w:p>
        </w:tc>
      </w:tr>
      <w:tr w:rsidR="005B7602" w:rsidRPr="00812A8E" w14:paraId="6724FA27" w14:textId="77777777" w:rsidTr="005B7602">
        <w:trPr>
          <w:trHeight w:val="116"/>
        </w:trPr>
        <w:tc>
          <w:tcPr>
            <w:tcW w:w="632" w:type="pct"/>
          </w:tcPr>
          <w:p w14:paraId="61AAC4C7" w14:textId="77777777" w:rsidR="005B7602" w:rsidRPr="00812A8E" w:rsidRDefault="005B7602" w:rsidP="00B37858">
            <w:pPr>
              <w:pStyle w:val="Heading2"/>
              <w:keepNext w:val="0"/>
              <w:rPr>
                <w:rFonts w:ascii="Arial" w:hAnsi="Arial" w:cs="Arial"/>
                <w:b w:val="0"/>
                <w:bCs w:val="0"/>
                <w:sz w:val="20"/>
                <w:szCs w:val="20"/>
              </w:rPr>
            </w:pPr>
          </w:p>
        </w:tc>
        <w:tc>
          <w:tcPr>
            <w:tcW w:w="4368" w:type="pct"/>
          </w:tcPr>
          <w:p w14:paraId="4CD6CA8A" w14:textId="77777777" w:rsidR="005B7602" w:rsidRPr="00812A8E" w:rsidRDefault="005B7602" w:rsidP="00B37858">
            <w:pPr>
              <w:pStyle w:val="Default0"/>
              <w:rPr>
                <w:rFonts w:ascii="Arial" w:eastAsiaTheme="minorHAnsi" w:hAnsi="Arial" w:cs="Arial"/>
                <w:color w:val="auto"/>
                <w:sz w:val="20"/>
                <w:szCs w:val="20"/>
              </w:rPr>
            </w:pPr>
          </w:p>
        </w:tc>
      </w:tr>
      <w:tr w:rsidR="005B7602" w:rsidRPr="00812A8E" w14:paraId="7A56276F" w14:textId="77777777" w:rsidTr="005B7602">
        <w:trPr>
          <w:trHeight w:val="116"/>
        </w:trPr>
        <w:tc>
          <w:tcPr>
            <w:tcW w:w="632" w:type="pct"/>
          </w:tcPr>
          <w:p w14:paraId="65C99828" w14:textId="552B871D" w:rsidR="005B7602" w:rsidRPr="00812A8E" w:rsidRDefault="005B7602" w:rsidP="00B37858">
            <w:pPr>
              <w:pStyle w:val="Heading2"/>
              <w:keepNext w:val="0"/>
              <w:rPr>
                <w:rFonts w:ascii="Arial" w:hAnsi="Arial" w:cs="Arial"/>
                <w:b w:val="0"/>
                <w:bCs w:val="0"/>
                <w:sz w:val="20"/>
                <w:szCs w:val="20"/>
              </w:rPr>
            </w:pPr>
            <w:r w:rsidRPr="00812A8E">
              <w:rPr>
                <w:rFonts w:ascii="Arial" w:hAnsi="Arial" w:cs="Arial"/>
                <w:b w:val="0"/>
                <w:bCs w:val="0"/>
                <w:sz w:val="20"/>
                <w:szCs w:val="20"/>
              </w:rPr>
              <w:t xml:space="preserve">96 </w:t>
            </w:r>
          </w:p>
        </w:tc>
        <w:tc>
          <w:tcPr>
            <w:tcW w:w="4368" w:type="pct"/>
          </w:tcPr>
          <w:p w14:paraId="6AF5FF75" w14:textId="21A3EB22" w:rsidR="005B7602" w:rsidRPr="00812A8E" w:rsidRDefault="005B7602" w:rsidP="00B37858">
            <w:pPr>
              <w:pStyle w:val="Default0"/>
              <w:rPr>
                <w:rFonts w:ascii="Arial" w:eastAsiaTheme="minorHAnsi" w:hAnsi="Arial" w:cs="Arial"/>
                <w:color w:val="auto"/>
                <w:sz w:val="20"/>
                <w:szCs w:val="20"/>
              </w:rPr>
            </w:pPr>
            <w:r w:rsidRPr="00812A8E">
              <w:rPr>
                <w:rFonts w:ascii="Arial" w:eastAsiaTheme="minorHAnsi" w:hAnsi="Arial" w:cs="Arial"/>
                <w:color w:val="auto"/>
                <w:sz w:val="20"/>
                <w:szCs w:val="20"/>
              </w:rPr>
              <w:t>No description?</w:t>
            </w:r>
          </w:p>
        </w:tc>
      </w:tr>
      <w:tr w:rsidR="005B7602" w:rsidRPr="00812A8E" w14:paraId="21A19E90" w14:textId="77777777" w:rsidTr="005B7602">
        <w:trPr>
          <w:trHeight w:val="116"/>
        </w:trPr>
        <w:tc>
          <w:tcPr>
            <w:tcW w:w="632" w:type="pct"/>
          </w:tcPr>
          <w:p w14:paraId="795AD794" w14:textId="77777777" w:rsidR="005B7602" w:rsidRPr="00812A8E" w:rsidRDefault="005B7602" w:rsidP="00B37858">
            <w:pPr>
              <w:pStyle w:val="Heading2"/>
              <w:keepNext w:val="0"/>
              <w:rPr>
                <w:rFonts w:ascii="Arial" w:hAnsi="Arial" w:cs="Arial"/>
                <w:b w:val="0"/>
                <w:bCs w:val="0"/>
                <w:sz w:val="20"/>
                <w:szCs w:val="20"/>
              </w:rPr>
            </w:pPr>
          </w:p>
        </w:tc>
        <w:tc>
          <w:tcPr>
            <w:tcW w:w="4368" w:type="pct"/>
          </w:tcPr>
          <w:p w14:paraId="73085494" w14:textId="77777777" w:rsidR="005B7602" w:rsidRPr="00812A8E" w:rsidRDefault="005B7602" w:rsidP="00B37858">
            <w:pPr>
              <w:pStyle w:val="Default0"/>
              <w:rPr>
                <w:rFonts w:ascii="Arial" w:eastAsiaTheme="minorHAnsi" w:hAnsi="Arial" w:cs="Arial"/>
                <w:color w:val="auto"/>
                <w:sz w:val="20"/>
                <w:szCs w:val="20"/>
              </w:rPr>
            </w:pPr>
          </w:p>
        </w:tc>
      </w:tr>
      <w:tr w:rsidR="005B7602" w:rsidRPr="00812A8E" w14:paraId="044F2BCF" w14:textId="77777777" w:rsidTr="005B7602">
        <w:trPr>
          <w:trHeight w:val="116"/>
        </w:trPr>
        <w:tc>
          <w:tcPr>
            <w:tcW w:w="632" w:type="pct"/>
          </w:tcPr>
          <w:p w14:paraId="6909F023" w14:textId="2CF83EEA" w:rsidR="005B7602" w:rsidRPr="00812A8E" w:rsidRDefault="005B7602" w:rsidP="00B37858">
            <w:pPr>
              <w:pStyle w:val="Heading2"/>
              <w:keepNext w:val="0"/>
              <w:rPr>
                <w:rFonts w:ascii="Arial" w:hAnsi="Arial" w:cs="Arial"/>
                <w:b w:val="0"/>
                <w:bCs w:val="0"/>
                <w:sz w:val="20"/>
                <w:szCs w:val="20"/>
              </w:rPr>
            </w:pPr>
            <w:r w:rsidRPr="00812A8E">
              <w:rPr>
                <w:rFonts w:ascii="Arial" w:hAnsi="Arial" w:cs="Arial"/>
                <w:b w:val="0"/>
                <w:bCs w:val="0"/>
                <w:sz w:val="20"/>
                <w:szCs w:val="20"/>
              </w:rPr>
              <w:t>97</w:t>
            </w:r>
          </w:p>
        </w:tc>
        <w:tc>
          <w:tcPr>
            <w:tcW w:w="4368" w:type="pct"/>
          </w:tcPr>
          <w:p w14:paraId="7FEEB97F" w14:textId="5B154654" w:rsidR="005B7602" w:rsidRPr="00812A8E" w:rsidRDefault="005B7602" w:rsidP="00B37858">
            <w:pPr>
              <w:pStyle w:val="Default0"/>
              <w:rPr>
                <w:rFonts w:ascii="Arial" w:eastAsiaTheme="minorHAnsi" w:hAnsi="Arial" w:cs="Arial"/>
                <w:color w:val="auto"/>
                <w:sz w:val="20"/>
                <w:szCs w:val="20"/>
              </w:rPr>
            </w:pPr>
            <w:r w:rsidRPr="00812A8E">
              <w:rPr>
                <w:rFonts w:ascii="Arial" w:eastAsiaTheme="minorHAnsi" w:hAnsi="Arial" w:cs="Arial"/>
                <w:color w:val="auto"/>
                <w:sz w:val="20"/>
                <w:szCs w:val="20"/>
              </w:rPr>
              <w:t>No description?</w:t>
            </w:r>
          </w:p>
        </w:tc>
      </w:tr>
      <w:tr w:rsidR="005B7602" w:rsidRPr="00812A8E" w14:paraId="3F025DD0" w14:textId="77777777" w:rsidTr="005B7602">
        <w:trPr>
          <w:trHeight w:val="116"/>
        </w:trPr>
        <w:tc>
          <w:tcPr>
            <w:tcW w:w="632" w:type="pct"/>
          </w:tcPr>
          <w:p w14:paraId="2E3A61AA" w14:textId="77777777" w:rsidR="005B7602" w:rsidRPr="00812A8E" w:rsidRDefault="005B7602" w:rsidP="00B37858">
            <w:pPr>
              <w:pStyle w:val="Heading2"/>
              <w:keepNext w:val="0"/>
              <w:rPr>
                <w:rFonts w:ascii="Arial" w:hAnsi="Arial" w:cs="Arial"/>
                <w:b w:val="0"/>
                <w:bCs w:val="0"/>
                <w:sz w:val="20"/>
                <w:szCs w:val="20"/>
              </w:rPr>
            </w:pPr>
          </w:p>
        </w:tc>
        <w:tc>
          <w:tcPr>
            <w:tcW w:w="4368" w:type="pct"/>
          </w:tcPr>
          <w:p w14:paraId="6B9E9D38" w14:textId="77777777" w:rsidR="005B7602" w:rsidRPr="00812A8E" w:rsidRDefault="005B7602" w:rsidP="00B37858">
            <w:pPr>
              <w:pStyle w:val="Default0"/>
              <w:rPr>
                <w:rFonts w:ascii="Arial" w:eastAsiaTheme="minorHAnsi" w:hAnsi="Arial" w:cs="Arial"/>
                <w:color w:val="auto"/>
                <w:sz w:val="20"/>
                <w:szCs w:val="20"/>
              </w:rPr>
            </w:pPr>
          </w:p>
        </w:tc>
      </w:tr>
      <w:tr w:rsidR="005B7602" w:rsidRPr="00812A8E" w14:paraId="5F2A4431" w14:textId="77777777" w:rsidTr="005B7602">
        <w:trPr>
          <w:trHeight w:val="116"/>
        </w:trPr>
        <w:tc>
          <w:tcPr>
            <w:tcW w:w="632" w:type="pct"/>
          </w:tcPr>
          <w:p w14:paraId="363EB6B6" w14:textId="1B6C1C00" w:rsidR="005B7602" w:rsidRPr="00812A8E" w:rsidRDefault="005B7602" w:rsidP="00B37858">
            <w:pPr>
              <w:pStyle w:val="Heading2"/>
              <w:keepNext w:val="0"/>
              <w:rPr>
                <w:rFonts w:ascii="Arial" w:hAnsi="Arial" w:cs="Arial"/>
                <w:b w:val="0"/>
                <w:bCs w:val="0"/>
                <w:sz w:val="20"/>
                <w:szCs w:val="20"/>
              </w:rPr>
            </w:pPr>
            <w:r w:rsidRPr="00812A8E">
              <w:rPr>
                <w:rFonts w:ascii="Arial" w:hAnsi="Arial" w:cs="Arial"/>
                <w:b w:val="0"/>
                <w:bCs w:val="0"/>
                <w:sz w:val="20"/>
                <w:szCs w:val="20"/>
              </w:rPr>
              <w:t>98</w:t>
            </w:r>
          </w:p>
        </w:tc>
        <w:tc>
          <w:tcPr>
            <w:tcW w:w="4368" w:type="pct"/>
          </w:tcPr>
          <w:p w14:paraId="172E1D64" w14:textId="0DB082B1" w:rsidR="005B7602" w:rsidRPr="00812A8E" w:rsidRDefault="005B7602" w:rsidP="00B37858">
            <w:pPr>
              <w:rPr>
                <w:rFonts w:ascii="Arial" w:hAnsi="Arial" w:cs="Arial"/>
                <w:color w:val="000000"/>
                <w:sz w:val="20"/>
                <w:szCs w:val="20"/>
              </w:rPr>
            </w:pPr>
            <w:r w:rsidRPr="00812A8E">
              <w:rPr>
                <w:rFonts w:ascii="Arial" w:hAnsi="Arial" w:cs="Arial"/>
                <w:color w:val="000000"/>
                <w:sz w:val="20"/>
                <w:szCs w:val="20"/>
              </w:rPr>
              <w:t>No description?  There are several others.  I am not going to copy the remaining examples.</w:t>
            </w:r>
          </w:p>
        </w:tc>
      </w:tr>
      <w:tr w:rsidR="005B7602" w:rsidRPr="00812A8E" w14:paraId="05CD672D" w14:textId="77777777" w:rsidTr="005B7602">
        <w:trPr>
          <w:trHeight w:val="116"/>
        </w:trPr>
        <w:tc>
          <w:tcPr>
            <w:tcW w:w="632" w:type="pct"/>
          </w:tcPr>
          <w:p w14:paraId="69AADF88" w14:textId="77777777" w:rsidR="005B7602" w:rsidRPr="00812A8E" w:rsidRDefault="005B7602" w:rsidP="00B37858">
            <w:pPr>
              <w:pStyle w:val="Heading2"/>
              <w:keepNext w:val="0"/>
              <w:rPr>
                <w:rFonts w:ascii="Arial" w:hAnsi="Arial" w:cs="Arial"/>
                <w:b w:val="0"/>
                <w:bCs w:val="0"/>
                <w:sz w:val="20"/>
                <w:szCs w:val="20"/>
              </w:rPr>
            </w:pPr>
          </w:p>
        </w:tc>
        <w:tc>
          <w:tcPr>
            <w:tcW w:w="4368" w:type="pct"/>
          </w:tcPr>
          <w:p w14:paraId="64C21C88" w14:textId="77777777" w:rsidR="005B7602" w:rsidRPr="00812A8E" w:rsidRDefault="005B7602" w:rsidP="00B37858">
            <w:pPr>
              <w:pStyle w:val="Default0"/>
              <w:rPr>
                <w:rFonts w:ascii="Arial" w:eastAsiaTheme="minorHAnsi" w:hAnsi="Arial" w:cs="Arial"/>
                <w:color w:val="auto"/>
                <w:sz w:val="20"/>
                <w:szCs w:val="20"/>
              </w:rPr>
            </w:pPr>
          </w:p>
        </w:tc>
      </w:tr>
      <w:tr w:rsidR="005B7602" w:rsidRPr="00812A8E" w14:paraId="4870EADA" w14:textId="77777777" w:rsidTr="005B7602">
        <w:trPr>
          <w:trHeight w:val="116"/>
        </w:trPr>
        <w:tc>
          <w:tcPr>
            <w:tcW w:w="632" w:type="pct"/>
          </w:tcPr>
          <w:p w14:paraId="1414C0D0" w14:textId="5E0EB672" w:rsidR="005B7602" w:rsidRPr="00812A8E" w:rsidRDefault="005B7602" w:rsidP="00B37858">
            <w:pPr>
              <w:pStyle w:val="Heading2"/>
              <w:keepNext w:val="0"/>
              <w:rPr>
                <w:rFonts w:ascii="Arial" w:hAnsi="Arial" w:cs="Arial"/>
                <w:b w:val="0"/>
                <w:bCs w:val="0"/>
                <w:sz w:val="20"/>
                <w:szCs w:val="20"/>
              </w:rPr>
            </w:pPr>
            <w:r w:rsidRPr="00812A8E">
              <w:rPr>
                <w:rFonts w:ascii="Arial" w:hAnsi="Arial" w:cs="Arial"/>
                <w:b w:val="0"/>
                <w:bCs w:val="0"/>
                <w:sz w:val="20"/>
                <w:szCs w:val="20"/>
              </w:rPr>
              <w:t>99</w:t>
            </w:r>
          </w:p>
        </w:tc>
        <w:tc>
          <w:tcPr>
            <w:tcW w:w="4368" w:type="pct"/>
          </w:tcPr>
          <w:p w14:paraId="54E0A042" w14:textId="262FF710" w:rsidR="005B7602" w:rsidRPr="00812A8E" w:rsidRDefault="005B7602" w:rsidP="00B37858">
            <w:pPr>
              <w:pStyle w:val="Default0"/>
              <w:rPr>
                <w:rFonts w:ascii="Arial" w:eastAsiaTheme="minorHAnsi" w:hAnsi="Arial" w:cs="Arial"/>
                <w:color w:val="auto"/>
                <w:sz w:val="20"/>
                <w:szCs w:val="20"/>
              </w:rPr>
            </w:pPr>
            <w:r w:rsidRPr="00812A8E">
              <w:rPr>
                <w:rFonts w:ascii="Arial" w:eastAsiaTheme="minorHAnsi" w:hAnsi="Arial" w:cs="Arial"/>
                <w:color w:val="auto"/>
                <w:sz w:val="20"/>
                <w:szCs w:val="20"/>
              </w:rPr>
              <w:t>GASB Cod. 2200.116 is not a necessary reference as it only refers to liquidity.</w:t>
            </w:r>
          </w:p>
        </w:tc>
      </w:tr>
      <w:tr w:rsidR="005B7602" w:rsidRPr="00812A8E" w14:paraId="3B05E985" w14:textId="77777777" w:rsidTr="005B7602">
        <w:trPr>
          <w:trHeight w:val="116"/>
        </w:trPr>
        <w:tc>
          <w:tcPr>
            <w:tcW w:w="632" w:type="pct"/>
          </w:tcPr>
          <w:p w14:paraId="30B55925" w14:textId="77777777" w:rsidR="005B7602" w:rsidRPr="00812A8E" w:rsidRDefault="005B7602" w:rsidP="00B37858">
            <w:pPr>
              <w:pStyle w:val="Heading2"/>
              <w:keepNext w:val="0"/>
              <w:rPr>
                <w:rFonts w:ascii="Arial" w:hAnsi="Arial" w:cs="Arial"/>
                <w:b w:val="0"/>
                <w:bCs w:val="0"/>
                <w:sz w:val="20"/>
                <w:szCs w:val="20"/>
              </w:rPr>
            </w:pPr>
          </w:p>
        </w:tc>
        <w:tc>
          <w:tcPr>
            <w:tcW w:w="4368" w:type="pct"/>
          </w:tcPr>
          <w:p w14:paraId="305B562E" w14:textId="77777777" w:rsidR="005B7602" w:rsidRPr="00812A8E" w:rsidRDefault="005B7602" w:rsidP="00B37858">
            <w:pPr>
              <w:pStyle w:val="Default0"/>
              <w:rPr>
                <w:rFonts w:ascii="Arial" w:eastAsiaTheme="minorHAnsi" w:hAnsi="Arial" w:cs="Arial"/>
                <w:color w:val="auto"/>
                <w:sz w:val="20"/>
                <w:szCs w:val="20"/>
              </w:rPr>
            </w:pPr>
          </w:p>
        </w:tc>
      </w:tr>
      <w:tr w:rsidR="005B7602" w:rsidRPr="00812A8E" w14:paraId="1476BF2F" w14:textId="77777777" w:rsidTr="005B7602">
        <w:trPr>
          <w:trHeight w:val="116"/>
        </w:trPr>
        <w:tc>
          <w:tcPr>
            <w:tcW w:w="632" w:type="pct"/>
          </w:tcPr>
          <w:p w14:paraId="30508FEB" w14:textId="2918BEEE" w:rsidR="005B7602" w:rsidRPr="00812A8E" w:rsidRDefault="005B7602" w:rsidP="00B37858">
            <w:pPr>
              <w:pStyle w:val="Heading2"/>
              <w:keepNext w:val="0"/>
              <w:rPr>
                <w:rFonts w:ascii="Arial" w:hAnsi="Arial" w:cs="Arial"/>
                <w:b w:val="0"/>
                <w:bCs w:val="0"/>
                <w:sz w:val="20"/>
                <w:szCs w:val="20"/>
              </w:rPr>
            </w:pPr>
            <w:r w:rsidRPr="00812A8E">
              <w:rPr>
                <w:rFonts w:ascii="Arial" w:hAnsi="Arial" w:cs="Arial"/>
                <w:b w:val="0"/>
                <w:bCs w:val="0"/>
                <w:sz w:val="20"/>
                <w:szCs w:val="20"/>
              </w:rPr>
              <w:t>100</w:t>
            </w:r>
          </w:p>
        </w:tc>
        <w:tc>
          <w:tcPr>
            <w:tcW w:w="4368" w:type="pct"/>
          </w:tcPr>
          <w:p w14:paraId="33CB2C7E" w14:textId="001B7871" w:rsidR="005B7602" w:rsidRPr="00812A8E" w:rsidRDefault="005B7602" w:rsidP="00B37858">
            <w:pPr>
              <w:pStyle w:val="Default0"/>
              <w:rPr>
                <w:rFonts w:ascii="Arial" w:eastAsiaTheme="minorHAnsi" w:hAnsi="Arial" w:cs="Arial"/>
                <w:color w:val="auto"/>
                <w:sz w:val="20"/>
                <w:szCs w:val="20"/>
              </w:rPr>
            </w:pPr>
            <w:r w:rsidRPr="00812A8E">
              <w:rPr>
                <w:rFonts w:ascii="Arial" w:eastAsiaTheme="minorHAnsi" w:hAnsi="Arial" w:cs="Arial"/>
                <w:color w:val="auto"/>
                <w:sz w:val="20"/>
                <w:szCs w:val="20"/>
              </w:rPr>
              <w:t>GASB Cod. 2200.116 is not a necessary reference as it only refers to liquidity.</w:t>
            </w:r>
          </w:p>
        </w:tc>
      </w:tr>
      <w:tr w:rsidR="005B7602" w:rsidRPr="00812A8E" w14:paraId="3A1CC9CE" w14:textId="77777777" w:rsidTr="005B7602">
        <w:trPr>
          <w:trHeight w:val="116"/>
        </w:trPr>
        <w:tc>
          <w:tcPr>
            <w:tcW w:w="632" w:type="pct"/>
          </w:tcPr>
          <w:p w14:paraId="54D4E8A3" w14:textId="77777777" w:rsidR="005B7602" w:rsidRPr="00812A8E" w:rsidRDefault="005B7602" w:rsidP="00B37858">
            <w:pPr>
              <w:pStyle w:val="Heading2"/>
              <w:keepNext w:val="0"/>
              <w:rPr>
                <w:rFonts w:ascii="Arial" w:hAnsi="Arial" w:cs="Arial"/>
                <w:b w:val="0"/>
                <w:bCs w:val="0"/>
                <w:sz w:val="20"/>
                <w:szCs w:val="20"/>
              </w:rPr>
            </w:pPr>
          </w:p>
        </w:tc>
        <w:tc>
          <w:tcPr>
            <w:tcW w:w="4368" w:type="pct"/>
          </w:tcPr>
          <w:p w14:paraId="62E65A23" w14:textId="77777777" w:rsidR="005B7602" w:rsidRPr="00812A8E" w:rsidRDefault="005B7602" w:rsidP="00B37858">
            <w:pPr>
              <w:pStyle w:val="Default0"/>
              <w:rPr>
                <w:rFonts w:ascii="Arial" w:eastAsiaTheme="minorHAnsi" w:hAnsi="Arial" w:cs="Arial"/>
                <w:color w:val="auto"/>
                <w:sz w:val="20"/>
                <w:szCs w:val="20"/>
              </w:rPr>
            </w:pPr>
          </w:p>
        </w:tc>
      </w:tr>
      <w:tr w:rsidR="005B7602" w:rsidRPr="00812A8E" w14:paraId="7A5F86F8" w14:textId="77777777" w:rsidTr="005B7602">
        <w:trPr>
          <w:trHeight w:val="116"/>
        </w:trPr>
        <w:tc>
          <w:tcPr>
            <w:tcW w:w="632" w:type="pct"/>
          </w:tcPr>
          <w:p w14:paraId="4DCF44CF" w14:textId="20E1E1C1" w:rsidR="005B7602" w:rsidRPr="00812A8E" w:rsidRDefault="005B7602" w:rsidP="00B37858">
            <w:pPr>
              <w:pStyle w:val="Heading2"/>
              <w:keepNext w:val="0"/>
              <w:rPr>
                <w:rFonts w:ascii="Arial" w:hAnsi="Arial" w:cs="Arial"/>
                <w:b w:val="0"/>
                <w:bCs w:val="0"/>
                <w:sz w:val="20"/>
                <w:szCs w:val="20"/>
              </w:rPr>
            </w:pPr>
            <w:r w:rsidRPr="00812A8E">
              <w:rPr>
                <w:rFonts w:ascii="Arial" w:hAnsi="Arial" w:cs="Arial"/>
                <w:b w:val="0"/>
                <w:bCs w:val="0"/>
                <w:sz w:val="20"/>
                <w:szCs w:val="20"/>
              </w:rPr>
              <w:t>101</w:t>
            </w:r>
          </w:p>
        </w:tc>
        <w:tc>
          <w:tcPr>
            <w:tcW w:w="4368" w:type="pct"/>
          </w:tcPr>
          <w:p w14:paraId="557EBE83" w14:textId="5974179E" w:rsidR="005B7602" w:rsidRPr="00812A8E" w:rsidRDefault="005B7602" w:rsidP="00B37858">
            <w:pPr>
              <w:pStyle w:val="Default0"/>
              <w:rPr>
                <w:rFonts w:ascii="Arial" w:eastAsiaTheme="minorHAnsi" w:hAnsi="Arial" w:cs="Arial"/>
                <w:color w:val="auto"/>
                <w:sz w:val="20"/>
                <w:szCs w:val="20"/>
              </w:rPr>
            </w:pPr>
            <w:r w:rsidRPr="00812A8E">
              <w:rPr>
                <w:rFonts w:ascii="Arial" w:eastAsiaTheme="minorHAnsi" w:hAnsi="Arial" w:cs="Arial"/>
                <w:color w:val="auto"/>
                <w:sz w:val="20"/>
                <w:szCs w:val="20"/>
              </w:rPr>
              <w:t>Includes references that do not help define the element.</w:t>
            </w:r>
          </w:p>
        </w:tc>
      </w:tr>
      <w:tr w:rsidR="005B7602" w:rsidRPr="00812A8E" w14:paraId="32584881" w14:textId="77777777" w:rsidTr="005B7602">
        <w:trPr>
          <w:trHeight w:val="116"/>
        </w:trPr>
        <w:tc>
          <w:tcPr>
            <w:tcW w:w="632" w:type="pct"/>
          </w:tcPr>
          <w:p w14:paraId="4BAF89AB" w14:textId="77777777" w:rsidR="005B7602" w:rsidRPr="00812A8E" w:rsidRDefault="005B7602" w:rsidP="00B37858">
            <w:pPr>
              <w:pStyle w:val="Heading2"/>
              <w:keepNext w:val="0"/>
              <w:rPr>
                <w:rFonts w:ascii="Arial" w:hAnsi="Arial" w:cs="Arial"/>
                <w:b w:val="0"/>
                <w:bCs w:val="0"/>
                <w:sz w:val="20"/>
                <w:szCs w:val="20"/>
              </w:rPr>
            </w:pPr>
          </w:p>
        </w:tc>
        <w:tc>
          <w:tcPr>
            <w:tcW w:w="4368" w:type="pct"/>
          </w:tcPr>
          <w:p w14:paraId="6D21521E" w14:textId="77777777" w:rsidR="005B7602" w:rsidRPr="00812A8E" w:rsidRDefault="005B7602" w:rsidP="00B37858">
            <w:pPr>
              <w:pStyle w:val="Default0"/>
              <w:rPr>
                <w:rFonts w:ascii="Arial" w:eastAsiaTheme="minorHAnsi" w:hAnsi="Arial" w:cs="Arial"/>
                <w:color w:val="auto"/>
                <w:sz w:val="20"/>
                <w:szCs w:val="20"/>
              </w:rPr>
            </w:pPr>
          </w:p>
        </w:tc>
      </w:tr>
      <w:tr w:rsidR="005B7602" w:rsidRPr="00812A8E" w14:paraId="13D149B9" w14:textId="77777777" w:rsidTr="005B7602">
        <w:trPr>
          <w:trHeight w:val="116"/>
        </w:trPr>
        <w:tc>
          <w:tcPr>
            <w:tcW w:w="632" w:type="pct"/>
          </w:tcPr>
          <w:p w14:paraId="201160A1" w14:textId="79D205C2" w:rsidR="005B7602" w:rsidRPr="00812A8E" w:rsidRDefault="005B7602" w:rsidP="00B37858">
            <w:pPr>
              <w:pStyle w:val="Heading2"/>
              <w:keepNext w:val="0"/>
              <w:rPr>
                <w:rFonts w:ascii="Arial" w:hAnsi="Arial" w:cs="Arial"/>
                <w:b w:val="0"/>
                <w:bCs w:val="0"/>
                <w:sz w:val="20"/>
                <w:szCs w:val="20"/>
              </w:rPr>
            </w:pPr>
            <w:r w:rsidRPr="00812A8E">
              <w:rPr>
                <w:rFonts w:ascii="Arial" w:hAnsi="Arial" w:cs="Arial"/>
                <w:b w:val="0"/>
                <w:bCs w:val="0"/>
                <w:sz w:val="20"/>
                <w:szCs w:val="20"/>
              </w:rPr>
              <w:t>109</w:t>
            </w:r>
          </w:p>
        </w:tc>
        <w:tc>
          <w:tcPr>
            <w:tcW w:w="4368" w:type="pct"/>
          </w:tcPr>
          <w:p w14:paraId="735BA9D9" w14:textId="77777777" w:rsidR="005B7602" w:rsidRPr="00812A8E" w:rsidRDefault="005B7602" w:rsidP="00B37858">
            <w:pPr>
              <w:pStyle w:val="Default0"/>
              <w:rPr>
                <w:rFonts w:ascii="Arial" w:eastAsiaTheme="minorHAnsi" w:hAnsi="Arial" w:cs="Arial"/>
                <w:color w:val="auto"/>
                <w:sz w:val="20"/>
                <w:szCs w:val="20"/>
              </w:rPr>
            </w:pPr>
            <w:r w:rsidRPr="00812A8E">
              <w:rPr>
                <w:rFonts w:ascii="Arial" w:eastAsiaTheme="minorHAnsi" w:hAnsi="Arial" w:cs="Arial"/>
                <w:color w:val="auto"/>
                <w:sz w:val="20"/>
                <w:szCs w:val="20"/>
              </w:rPr>
              <w:t>Suggest adding the following in column D, Documentation:</w:t>
            </w:r>
          </w:p>
          <w:p w14:paraId="1E8FCC84" w14:textId="77777777" w:rsidR="005B7602" w:rsidRPr="00812A8E" w:rsidRDefault="005B7602" w:rsidP="00B37858">
            <w:pPr>
              <w:pStyle w:val="Default0"/>
              <w:rPr>
                <w:rFonts w:ascii="Arial" w:eastAsiaTheme="minorHAnsi" w:hAnsi="Arial" w:cs="Arial"/>
                <w:color w:val="auto"/>
                <w:sz w:val="20"/>
                <w:szCs w:val="20"/>
              </w:rPr>
            </w:pPr>
          </w:p>
          <w:p w14:paraId="25F6D9E4" w14:textId="4E486F06" w:rsidR="005B7602" w:rsidRPr="00812A8E" w:rsidRDefault="005B7602" w:rsidP="00B37858">
            <w:pPr>
              <w:pStyle w:val="Default0"/>
              <w:rPr>
                <w:rFonts w:ascii="Arial" w:eastAsiaTheme="minorHAnsi" w:hAnsi="Arial" w:cs="Arial"/>
                <w:color w:val="auto"/>
                <w:sz w:val="20"/>
                <w:szCs w:val="20"/>
              </w:rPr>
            </w:pPr>
            <w:r w:rsidRPr="00812A8E">
              <w:rPr>
                <w:rFonts w:ascii="Arial" w:eastAsiaTheme="minorHAnsi" w:hAnsi="Arial" w:cs="Arial"/>
                <w:color w:val="auto"/>
                <w:sz w:val="20"/>
                <w:szCs w:val="20"/>
              </w:rPr>
              <w:t>Basis of accounting used in conjunction with the current financial resources measurement focus that modifies the accrual basis of accounting in two important ways: 1) revenues are not recognized until they are measurable and available and 2) expenditures are recognized in the period in which governments in general normally liquidate the related liability rather than when that liability is first incurred (if earlier).</w:t>
            </w:r>
          </w:p>
          <w:p w14:paraId="3D8EFF45" w14:textId="77777777" w:rsidR="005B7602" w:rsidRPr="00812A8E" w:rsidRDefault="005B7602" w:rsidP="00B37858">
            <w:pPr>
              <w:pStyle w:val="Default0"/>
              <w:rPr>
                <w:rFonts w:ascii="Arial" w:eastAsiaTheme="minorHAnsi" w:hAnsi="Arial" w:cs="Arial"/>
                <w:color w:val="auto"/>
                <w:sz w:val="20"/>
                <w:szCs w:val="20"/>
              </w:rPr>
            </w:pPr>
          </w:p>
          <w:p w14:paraId="0A11CFC8" w14:textId="4BD821A1" w:rsidR="005B7602" w:rsidRPr="00812A8E" w:rsidRDefault="005B7602" w:rsidP="00B37858">
            <w:pPr>
              <w:pStyle w:val="Default0"/>
              <w:rPr>
                <w:rFonts w:ascii="Arial" w:eastAsiaTheme="minorHAnsi" w:hAnsi="Arial" w:cs="Arial"/>
                <w:color w:val="auto"/>
                <w:sz w:val="20"/>
                <w:szCs w:val="20"/>
              </w:rPr>
            </w:pPr>
            <w:r w:rsidRPr="00812A8E">
              <w:rPr>
                <w:rFonts w:ascii="Arial" w:eastAsiaTheme="minorHAnsi" w:hAnsi="Arial" w:cs="Arial"/>
                <w:color w:val="auto"/>
                <w:sz w:val="20"/>
                <w:szCs w:val="20"/>
              </w:rPr>
              <w:t>Suggest adding reference:</w:t>
            </w:r>
          </w:p>
          <w:p w14:paraId="685CD7DD" w14:textId="77777777" w:rsidR="005B7602" w:rsidRPr="00812A8E" w:rsidRDefault="005B7602" w:rsidP="00B37858">
            <w:pPr>
              <w:pStyle w:val="Default0"/>
              <w:rPr>
                <w:rFonts w:ascii="Arial" w:eastAsiaTheme="minorHAnsi" w:hAnsi="Arial" w:cs="Arial"/>
                <w:color w:val="auto"/>
                <w:sz w:val="20"/>
                <w:szCs w:val="20"/>
              </w:rPr>
            </w:pPr>
          </w:p>
          <w:p w14:paraId="4CD21991" w14:textId="77777777" w:rsidR="005B7602" w:rsidRPr="00812A8E" w:rsidRDefault="005B7602" w:rsidP="00B37858">
            <w:pPr>
              <w:pStyle w:val="Default0"/>
              <w:rPr>
                <w:rFonts w:ascii="Arial" w:eastAsiaTheme="minorHAnsi" w:hAnsi="Arial" w:cs="Arial"/>
                <w:color w:val="auto"/>
                <w:sz w:val="20"/>
                <w:szCs w:val="20"/>
              </w:rPr>
            </w:pPr>
            <w:r w:rsidRPr="00812A8E">
              <w:rPr>
                <w:rFonts w:ascii="Arial" w:eastAsiaTheme="minorHAnsi" w:hAnsi="Arial" w:cs="Arial"/>
                <w:color w:val="auto"/>
                <w:sz w:val="20"/>
                <w:szCs w:val="20"/>
              </w:rPr>
              <w:t>Stephen J. Gauthier, Governmental Accounting, Auditing, and Financial Reporting, GFOA, 2014.</w:t>
            </w:r>
          </w:p>
          <w:p w14:paraId="11F58A8F" w14:textId="332BB92D" w:rsidR="005B7602" w:rsidRPr="00812A8E" w:rsidRDefault="005B7602" w:rsidP="00B37858">
            <w:pPr>
              <w:pStyle w:val="Default0"/>
              <w:rPr>
                <w:rFonts w:ascii="Arial" w:eastAsiaTheme="minorHAnsi" w:hAnsi="Arial" w:cs="Arial"/>
                <w:color w:val="auto"/>
                <w:sz w:val="20"/>
                <w:szCs w:val="20"/>
              </w:rPr>
            </w:pPr>
            <w:r w:rsidRPr="00812A8E">
              <w:rPr>
                <w:rFonts w:ascii="Arial" w:eastAsiaTheme="minorHAnsi" w:hAnsi="Arial" w:cs="Arial"/>
                <w:color w:val="auto"/>
                <w:sz w:val="20"/>
                <w:szCs w:val="20"/>
              </w:rPr>
              <w:t>Appendix G</w:t>
            </w:r>
          </w:p>
        </w:tc>
      </w:tr>
      <w:tr w:rsidR="005B7602" w:rsidRPr="00812A8E" w14:paraId="1DFFE829" w14:textId="77777777" w:rsidTr="005B7602">
        <w:trPr>
          <w:trHeight w:val="116"/>
        </w:trPr>
        <w:tc>
          <w:tcPr>
            <w:tcW w:w="632" w:type="pct"/>
          </w:tcPr>
          <w:p w14:paraId="7D9CE406" w14:textId="77777777" w:rsidR="005B7602" w:rsidRPr="00812A8E" w:rsidRDefault="005B7602" w:rsidP="00B37858">
            <w:pPr>
              <w:pStyle w:val="Heading2"/>
              <w:keepNext w:val="0"/>
              <w:rPr>
                <w:rFonts w:ascii="Arial" w:hAnsi="Arial" w:cs="Arial"/>
                <w:b w:val="0"/>
                <w:bCs w:val="0"/>
                <w:sz w:val="20"/>
                <w:szCs w:val="20"/>
              </w:rPr>
            </w:pPr>
          </w:p>
        </w:tc>
        <w:tc>
          <w:tcPr>
            <w:tcW w:w="4368" w:type="pct"/>
          </w:tcPr>
          <w:p w14:paraId="0FF7518B" w14:textId="77777777" w:rsidR="005B7602" w:rsidRPr="00812A8E" w:rsidRDefault="005B7602" w:rsidP="00B37858">
            <w:pPr>
              <w:pStyle w:val="Default0"/>
              <w:rPr>
                <w:rFonts w:ascii="Arial" w:eastAsiaTheme="minorHAnsi" w:hAnsi="Arial" w:cs="Arial"/>
                <w:color w:val="auto"/>
                <w:sz w:val="20"/>
                <w:szCs w:val="20"/>
              </w:rPr>
            </w:pPr>
          </w:p>
        </w:tc>
      </w:tr>
      <w:tr w:rsidR="005B7602" w:rsidRPr="00812A8E" w14:paraId="503D1A0A" w14:textId="77777777" w:rsidTr="005B7602">
        <w:trPr>
          <w:trHeight w:val="116"/>
        </w:trPr>
        <w:tc>
          <w:tcPr>
            <w:tcW w:w="632" w:type="pct"/>
          </w:tcPr>
          <w:p w14:paraId="5D36FBFC" w14:textId="7FB5A5DB" w:rsidR="005B7602" w:rsidRPr="00812A8E" w:rsidRDefault="005B7602" w:rsidP="00B37858">
            <w:pPr>
              <w:pStyle w:val="Heading2"/>
              <w:keepNext w:val="0"/>
              <w:rPr>
                <w:rFonts w:ascii="Arial" w:hAnsi="Arial" w:cs="Arial"/>
                <w:b w:val="0"/>
                <w:bCs w:val="0"/>
                <w:sz w:val="20"/>
                <w:szCs w:val="20"/>
              </w:rPr>
            </w:pPr>
            <w:r w:rsidRPr="00812A8E">
              <w:rPr>
                <w:rFonts w:ascii="Arial" w:hAnsi="Arial" w:cs="Arial"/>
                <w:b w:val="0"/>
                <w:bCs w:val="0"/>
                <w:sz w:val="20"/>
                <w:szCs w:val="20"/>
              </w:rPr>
              <w:t>119</w:t>
            </w:r>
          </w:p>
        </w:tc>
        <w:tc>
          <w:tcPr>
            <w:tcW w:w="4368" w:type="pct"/>
          </w:tcPr>
          <w:p w14:paraId="0FB93BF0" w14:textId="0A1A3453" w:rsidR="005B7602" w:rsidRPr="00812A8E" w:rsidRDefault="005B7602" w:rsidP="00B37858">
            <w:pPr>
              <w:spacing w:after="120"/>
              <w:jc w:val="both"/>
              <w:rPr>
                <w:rFonts w:ascii="Arial" w:hAnsi="Arial" w:cs="Arial"/>
                <w:color w:val="000000" w:themeColor="text1"/>
                <w:sz w:val="20"/>
                <w:szCs w:val="20"/>
              </w:rPr>
            </w:pPr>
            <w:r w:rsidRPr="00812A8E">
              <w:rPr>
                <w:rFonts w:ascii="Arial" w:hAnsi="Arial" w:cs="Arial"/>
                <w:color w:val="000000" w:themeColor="text1"/>
                <w:sz w:val="20"/>
                <w:szCs w:val="20"/>
              </w:rPr>
              <w:t xml:space="preserve">This element is missing the reference to the GASB Codification 1800, paragraph 156. </w:t>
            </w:r>
          </w:p>
        </w:tc>
      </w:tr>
      <w:tr w:rsidR="005B7602" w:rsidRPr="00812A8E" w14:paraId="78115EFC" w14:textId="77777777" w:rsidTr="005B7602">
        <w:trPr>
          <w:trHeight w:val="116"/>
        </w:trPr>
        <w:tc>
          <w:tcPr>
            <w:tcW w:w="632" w:type="pct"/>
          </w:tcPr>
          <w:p w14:paraId="09665434" w14:textId="77777777" w:rsidR="005B7602" w:rsidRPr="00812A8E" w:rsidRDefault="005B7602" w:rsidP="00B37858">
            <w:pPr>
              <w:pStyle w:val="Heading2"/>
              <w:keepNext w:val="0"/>
              <w:rPr>
                <w:rFonts w:ascii="Arial" w:hAnsi="Arial" w:cs="Arial"/>
                <w:b w:val="0"/>
                <w:bCs w:val="0"/>
                <w:sz w:val="20"/>
                <w:szCs w:val="20"/>
              </w:rPr>
            </w:pPr>
          </w:p>
        </w:tc>
        <w:tc>
          <w:tcPr>
            <w:tcW w:w="4368" w:type="pct"/>
          </w:tcPr>
          <w:p w14:paraId="14C22BA7" w14:textId="77777777" w:rsidR="005B7602" w:rsidRPr="00812A8E" w:rsidRDefault="005B7602" w:rsidP="00B37858">
            <w:pPr>
              <w:pStyle w:val="Default0"/>
              <w:rPr>
                <w:rFonts w:ascii="Arial" w:eastAsiaTheme="minorHAnsi" w:hAnsi="Arial" w:cs="Arial"/>
                <w:color w:val="auto"/>
                <w:sz w:val="20"/>
                <w:szCs w:val="20"/>
              </w:rPr>
            </w:pPr>
          </w:p>
        </w:tc>
      </w:tr>
      <w:tr w:rsidR="005B7602" w:rsidRPr="00812A8E" w14:paraId="5A6C0255" w14:textId="77777777" w:rsidTr="005B7602">
        <w:trPr>
          <w:trHeight w:val="116"/>
        </w:trPr>
        <w:tc>
          <w:tcPr>
            <w:tcW w:w="632" w:type="pct"/>
          </w:tcPr>
          <w:p w14:paraId="557D97AF" w14:textId="2E625B79" w:rsidR="005B7602" w:rsidRPr="00812A8E" w:rsidRDefault="005B7602" w:rsidP="00B37858">
            <w:pPr>
              <w:pStyle w:val="Heading2"/>
              <w:keepNext w:val="0"/>
              <w:rPr>
                <w:rFonts w:ascii="Arial" w:hAnsi="Arial" w:cs="Arial"/>
                <w:b w:val="0"/>
                <w:bCs w:val="0"/>
                <w:sz w:val="20"/>
                <w:szCs w:val="20"/>
              </w:rPr>
            </w:pPr>
            <w:r w:rsidRPr="00812A8E">
              <w:rPr>
                <w:rFonts w:ascii="Arial" w:hAnsi="Arial" w:cs="Arial"/>
                <w:b w:val="0"/>
                <w:bCs w:val="0"/>
                <w:sz w:val="20"/>
                <w:szCs w:val="20"/>
              </w:rPr>
              <w:t>120</w:t>
            </w:r>
          </w:p>
        </w:tc>
        <w:tc>
          <w:tcPr>
            <w:tcW w:w="4368" w:type="pct"/>
          </w:tcPr>
          <w:p w14:paraId="4A8138C7" w14:textId="6B442FC1" w:rsidR="005B7602" w:rsidRPr="00812A8E" w:rsidRDefault="005B7602" w:rsidP="00B37858">
            <w:pPr>
              <w:pStyle w:val="Default0"/>
              <w:rPr>
                <w:rFonts w:ascii="Arial" w:eastAsiaTheme="minorHAnsi" w:hAnsi="Arial" w:cs="Arial"/>
                <w:color w:val="auto"/>
                <w:sz w:val="20"/>
                <w:szCs w:val="20"/>
              </w:rPr>
            </w:pPr>
            <w:r w:rsidRPr="00812A8E">
              <w:rPr>
                <w:rFonts w:ascii="Arial" w:eastAsiaTheme="minorHAnsi" w:hAnsi="Arial" w:cs="Arial"/>
                <w:color w:val="auto"/>
                <w:sz w:val="20"/>
                <w:szCs w:val="20"/>
              </w:rPr>
              <w:t>Net OPEB Asset/Liability.  These are two separate elements that cannot be netted.  There are different types of OPEB plans and this definition does not encompass all types of plans.</w:t>
            </w:r>
          </w:p>
        </w:tc>
      </w:tr>
      <w:tr w:rsidR="005B7602" w:rsidRPr="00812A8E" w14:paraId="74388F3E" w14:textId="77777777" w:rsidTr="005B7602">
        <w:trPr>
          <w:trHeight w:val="116"/>
        </w:trPr>
        <w:tc>
          <w:tcPr>
            <w:tcW w:w="632" w:type="pct"/>
          </w:tcPr>
          <w:p w14:paraId="2EA685A3" w14:textId="77777777" w:rsidR="005B7602" w:rsidRPr="00812A8E" w:rsidRDefault="005B7602" w:rsidP="00B37858">
            <w:pPr>
              <w:pStyle w:val="Heading2"/>
              <w:keepNext w:val="0"/>
              <w:rPr>
                <w:rFonts w:ascii="Arial" w:hAnsi="Arial" w:cs="Arial"/>
                <w:b w:val="0"/>
                <w:bCs w:val="0"/>
                <w:sz w:val="20"/>
                <w:szCs w:val="20"/>
              </w:rPr>
            </w:pPr>
          </w:p>
        </w:tc>
        <w:tc>
          <w:tcPr>
            <w:tcW w:w="4368" w:type="pct"/>
          </w:tcPr>
          <w:p w14:paraId="48DA27E0" w14:textId="77777777" w:rsidR="005B7602" w:rsidRPr="00812A8E" w:rsidRDefault="005B7602" w:rsidP="00B37858">
            <w:pPr>
              <w:pStyle w:val="Default0"/>
              <w:rPr>
                <w:rFonts w:ascii="Arial" w:eastAsiaTheme="minorHAnsi" w:hAnsi="Arial" w:cs="Arial"/>
                <w:color w:val="auto"/>
                <w:sz w:val="20"/>
                <w:szCs w:val="20"/>
              </w:rPr>
            </w:pPr>
          </w:p>
        </w:tc>
      </w:tr>
      <w:tr w:rsidR="005B7602" w:rsidRPr="00812A8E" w14:paraId="48DBB630" w14:textId="77777777" w:rsidTr="005B7602">
        <w:trPr>
          <w:trHeight w:val="116"/>
        </w:trPr>
        <w:tc>
          <w:tcPr>
            <w:tcW w:w="632" w:type="pct"/>
          </w:tcPr>
          <w:p w14:paraId="572F3F2C" w14:textId="10ED6415" w:rsidR="005B7602" w:rsidRPr="00812A8E" w:rsidRDefault="005B7602" w:rsidP="00B37858">
            <w:pPr>
              <w:pStyle w:val="Heading2"/>
              <w:keepNext w:val="0"/>
              <w:rPr>
                <w:rFonts w:ascii="Arial" w:hAnsi="Arial" w:cs="Arial"/>
                <w:b w:val="0"/>
                <w:bCs w:val="0"/>
                <w:sz w:val="20"/>
                <w:szCs w:val="20"/>
              </w:rPr>
            </w:pPr>
            <w:r w:rsidRPr="00812A8E">
              <w:rPr>
                <w:rFonts w:ascii="Arial" w:hAnsi="Arial" w:cs="Arial"/>
                <w:b w:val="0"/>
                <w:bCs w:val="0"/>
                <w:sz w:val="20"/>
                <w:szCs w:val="20"/>
              </w:rPr>
              <w:t>121</w:t>
            </w:r>
          </w:p>
        </w:tc>
        <w:tc>
          <w:tcPr>
            <w:tcW w:w="4368" w:type="pct"/>
          </w:tcPr>
          <w:p w14:paraId="2E107816" w14:textId="4B133D6D" w:rsidR="005B7602" w:rsidRPr="00812A8E" w:rsidRDefault="005B7602" w:rsidP="00B37858">
            <w:pPr>
              <w:pStyle w:val="Default0"/>
              <w:rPr>
                <w:rFonts w:ascii="Arial" w:eastAsiaTheme="minorHAnsi" w:hAnsi="Arial" w:cs="Arial"/>
                <w:color w:val="auto"/>
                <w:sz w:val="20"/>
                <w:szCs w:val="20"/>
              </w:rPr>
            </w:pPr>
            <w:r w:rsidRPr="00812A8E">
              <w:rPr>
                <w:rFonts w:ascii="Arial" w:eastAsiaTheme="minorHAnsi" w:hAnsi="Arial" w:cs="Arial"/>
                <w:color w:val="auto"/>
                <w:sz w:val="20"/>
                <w:szCs w:val="20"/>
              </w:rPr>
              <w:t>Net Pension Asset/Liability.  These are two separate elements that cannot be netted.  There are different types of pension plans and this definition does not encompass all types of plans. Also, the reference to GASB Cod. P20 is overly broad, it appears the definition cited comes from P20.119 fn7.</w:t>
            </w:r>
          </w:p>
        </w:tc>
      </w:tr>
      <w:tr w:rsidR="005B7602" w:rsidRPr="00812A8E" w14:paraId="52EDDD55" w14:textId="77777777" w:rsidTr="005B7602">
        <w:trPr>
          <w:trHeight w:val="116"/>
        </w:trPr>
        <w:tc>
          <w:tcPr>
            <w:tcW w:w="632" w:type="pct"/>
          </w:tcPr>
          <w:p w14:paraId="531CBFC8" w14:textId="77777777" w:rsidR="005B7602" w:rsidRPr="00812A8E" w:rsidRDefault="005B7602" w:rsidP="00B37858">
            <w:pPr>
              <w:pStyle w:val="Heading2"/>
              <w:keepNext w:val="0"/>
              <w:rPr>
                <w:rFonts w:ascii="Arial" w:hAnsi="Arial" w:cs="Arial"/>
                <w:b w:val="0"/>
                <w:bCs w:val="0"/>
                <w:sz w:val="20"/>
                <w:szCs w:val="20"/>
              </w:rPr>
            </w:pPr>
          </w:p>
        </w:tc>
        <w:tc>
          <w:tcPr>
            <w:tcW w:w="4368" w:type="pct"/>
          </w:tcPr>
          <w:p w14:paraId="53071CEF" w14:textId="77777777" w:rsidR="005B7602" w:rsidRPr="00812A8E" w:rsidRDefault="005B7602" w:rsidP="00B37858">
            <w:pPr>
              <w:pStyle w:val="Default0"/>
              <w:rPr>
                <w:rFonts w:ascii="Arial" w:eastAsiaTheme="minorHAnsi" w:hAnsi="Arial" w:cs="Arial"/>
                <w:color w:val="auto"/>
                <w:sz w:val="20"/>
                <w:szCs w:val="20"/>
              </w:rPr>
            </w:pPr>
          </w:p>
        </w:tc>
      </w:tr>
      <w:tr w:rsidR="005B7602" w:rsidRPr="00812A8E" w14:paraId="6E09D553" w14:textId="77777777" w:rsidTr="005B7602">
        <w:trPr>
          <w:trHeight w:val="116"/>
        </w:trPr>
        <w:tc>
          <w:tcPr>
            <w:tcW w:w="632" w:type="pct"/>
          </w:tcPr>
          <w:p w14:paraId="0A50DDEC" w14:textId="75A42AC2" w:rsidR="005B7602" w:rsidRPr="00812A8E" w:rsidRDefault="005B7602" w:rsidP="00B37858">
            <w:pPr>
              <w:pStyle w:val="Heading2"/>
              <w:keepNext w:val="0"/>
              <w:rPr>
                <w:rFonts w:ascii="Arial" w:hAnsi="Arial" w:cs="Arial"/>
                <w:b w:val="0"/>
                <w:bCs w:val="0"/>
                <w:sz w:val="20"/>
                <w:szCs w:val="20"/>
              </w:rPr>
            </w:pPr>
            <w:r w:rsidRPr="00812A8E">
              <w:rPr>
                <w:rFonts w:ascii="Arial" w:hAnsi="Arial" w:cs="Arial"/>
                <w:b w:val="0"/>
                <w:bCs w:val="0"/>
                <w:sz w:val="20"/>
                <w:szCs w:val="20"/>
              </w:rPr>
              <w:t>123</w:t>
            </w:r>
          </w:p>
        </w:tc>
        <w:tc>
          <w:tcPr>
            <w:tcW w:w="4368" w:type="pct"/>
          </w:tcPr>
          <w:p w14:paraId="502D1EF7" w14:textId="7C443C14" w:rsidR="005B7602" w:rsidRPr="00812A8E" w:rsidRDefault="005B7602" w:rsidP="00B37858">
            <w:pPr>
              <w:pStyle w:val="Default0"/>
              <w:rPr>
                <w:rFonts w:ascii="Arial" w:eastAsiaTheme="minorHAnsi" w:hAnsi="Arial" w:cs="Arial"/>
                <w:color w:val="auto"/>
                <w:sz w:val="20"/>
                <w:szCs w:val="20"/>
              </w:rPr>
            </w:pPr>
            <w:r w:rsidRPr="00812A8E">
              <w:rPr>
                <w:rFonts w:ascii="Arial" w:eastAsiaTheme="minorHAnsi" w:hAnsi="Arial" w:cs="Arial"/>
                <w:color w:val="auto"/>
                <w:sz w:val="20"/>
                <w:szCs w:val="20"/>
              </w:rPr>
              <w:t>Same as line 122?</w:t>
            </w:r>
          </w:p>
        </w:tc>
      </w:tr>
      <w:tr w:rsidR="005B7602" w:rsidRPr="00812A8E" w14:paraId="606A833C" w14:textId="77777777" w:rsidTr="005B7602">
        <w:trPr>
          <w:trHeight w:val="116"/>
        </w:trPr>
        <w:tc>
          <w:tcPr>
            <w:tcW w:w="632" w:type="pct"/>
          </w:tcPr>
          <w:p w14:paraId="0A49CB10" w14:textId="77777777" w:rsidR="005B7602" w:rsidRPr="00812A8E" w:rsidRDefault="005B7602" w:rsidP="00B37858">
            <w:pPr>
              <w:pStyle w:val="Heading2"/>
              <w:keepNext w:val="0"/>
              <w:rPr>
                <w:rFonts w:ascii="Arial" w:hAnsi="Arial" w:cs="Arial"/>
                <w:b w:val="0"/>
                <w:bCs w:val="0"/>
                <w:sz w:val="20"/>
                <w:szCs w:val="20"/>
              </w:rPr>
            </w:pPr>
          </w:p>
        </w:tc>
        <w:tc>
          <w:tcPr>
            <w:tcW w:w="4368" w:type="pct"/>
          </w:tcPr>
          <w:p w14:paraId="34273D61" w14:textId="77777777" w:rsidR="005B7602" w:rsidRPr="00812A8E" w:rsidRDefault="005B7602" w:rsidP="00B37858">
            <w:pPr>
              <w:pStyle w:val="Default0"/>
              <w:rPr>
                <w:rFonts w:ascii="Arial" w:eastAsiaTheme="minorHAnsi" w:hAnsi="Arial" w:cs="Arial"/>
                <w:color w:val="auto"/>
                <w:sz w:val="20"/>
                <w:szCs w:val="20"/>
              </w:rPr>
            </w:pPr>
          </w:p>
        </w:tc>
      </w:tr>
      <w:tr w:rsidR="005B7602" w:rsidRPr="00812A8E" w14:paraId="140C515C" w14:textId="77777777" w:rsidTr="005B7602">
        <w:trPr>
          <w:trHeight w:val="116"/>
        </w:trPr>
        <w:tc>
          <w:tcPr>
            <w:tcW w:w="632" w:type="pct"/>
          </w:tcPr>
          <w:p w14:paraId="71397C32" w14:textId="3DFD71E0" w:rsidR="005B7602" w:rsidRPr="00812A8E" w:rsidRDefault="005B7602" w:rsidP="00B37858">
            <w:pPr>
              <w:pStyle w:val="Heading2"/>
              <w:keepNext w:val="0"/>
              <w:rPr>
                <w:rFonts w:ascii="Arial" w:hAnsi="Arial" w:cs="Arial"/>
                <w:b w:val="0"/>
                <w:bCs w:val="0"/>
                <w:sz w:val="20"/>
                <w:szCs w:val="20"/>
              </w:rPr>
            </w:pPr>
            <w:r w:rsidRPr="00812A8E">
              <w:rPr>
                <w:rFonts w:ascii="Arial" w:hAnsi="Arial" w:cs="Arial"/>
                <w:b w:val="0"/>
                <w:bCs w:val="0"/>
                <w:sz w:val="20"/>
                <w:szCs w:val="20"/>
              </w:rPr>
              <w:t>126</w:t>
            </w:r>
          </w:p>
        </w:tc>
        <w:tc>
          <w:tcPr>
            <w:tcW w:w="4368" w:type="pct"/>
          </w:tcPr>
          <w:p w14:paraId="5500A023" w14:textId="3EF15D60" w:rsidR="005B7602" w:rsidRPr="00812A8E" w:rsidRDefault="005B7602" w:rsidP="00B37858">
            <w:pPr>
              <w:spacing w:after="120"/>
              <w:jc w:val="both"/>
              <w:rPr>
                <w:rFonts w:ascii="Arial" w:hAnsi="Arial" w:cs="Arial"/>
                <w:color w:val="000000" w:themeColor="text1"/>
                <w:sz w:val="20"/>
                <w:szCs w:val="20"/>
              </w:rPr>
            </w:pPr>
            <w:r w:rsidRPr="00812A8E">
              <w:rPr>
                <w:rFonts w:ascii="Arial" w:hAnsi="Arial" w:cs="Arial"/>
                <w:color w:val="000000" w:themeColor="text1"/>
                <w:sz w:val="20"/>
                <w:szCs w:val="20"/>
              </w:rPr>
              <w:t>The GASB Codification paragraph reference is incorrect; it should reference paragraph 162.</w:t>
            </w:r>
          </w:p>
        </w:tc>
      </w:tr>
      <w:tr w:rsidR="005B7602" w:rsidRPr="00812A8E" w14:paraId="23C613C4" w14:textId="77777777" w:rsidTr="005B7602">
        <w:trPr>
          <w:trHeight w:val="116"/>
        </w:trPr>
        <w:tc>
          <w:tcPr>
            <w:tcW w:w="632" w:type="pct"/>
          </w:tcPr>
          <w:p w14:paraId="3799E674" w14:textId="77777777" w:rsidR="005B7602" w:rsidRPr="00812A8E" w:rsidRDefault="005B7602" w:rsidP="00B37858">
            <w:pPr>
              <w:pStyle w:val="Heading2"/>
              <w:keepNext w:val="0"/>
              <w:rPr>
                <w:rFonts w:ascii="Arial" w:hAnsi="Arial" w:cs="Arial"/>
                <w:b w:val="0"/>
                <w:bCs w:val="0"/>
                <w:sz w:val="20"/>
                <w:szCs w:val="20"/>
              </w:rPr>
            </w:pPr>
          </w:p>
        </w:tc>
        <w:tc>
          <w:tcPr>
            <w:tcW w:w="4368" w:type="pct"/>
          </w:tcPr>
          <w:p w14:paraId="4F4EF97D" w14:textId="77777777" w:rsidR="005B7602" w:rsidRPr="00812A8E" w:rsidRDefault="005B7602" w:rsidP="00B37858">
            <w:pPr>
              <w:pStyle w:val="Default0"/>
              <w:rPr>
                <w:rFonts w:ascii="Arial" w:eastAsiaTheme="minorHAnsi" w:hAnsi="Arial" w:cs="Arial"/>
                <w:color w:val="auto"/>
                <w:sz w:val="20"/>
                <w:szCs w:val="20"/>
              </w:rPr>
            </w:pPr>
          </w:p>
        </w:tc>
      </w:tr>
      <w:tr w:rsidR="005B7602" w:rsidRPr="00812A8E" w14:paraId="34ED5046" w14:textId="77777777" w:rsidTr="005B7602">
        <w:trPr>
          <w:trHeight w:val="116"/>
        </w:trPr>
        <w:tc>
          <w:tcPr>
            <w:tcW w:w="632" w:type="pct"/>
          </w:tcPr>
          <w:p w14:paraId="00F11A80" w14:textId="56618F1A" w:rsidR="005B7602" w:rsidRPr="00812A8E" w:rsidRDefault="005B7602" w:rsidP="00B37858">
            <w:pPr>
              <w:pStyle w:val="Heading2"/>
              <w:keepNext w:val="0"/>
              <w:rPr>
                <w:rFonts w:ascii="Arial" w:hAnsi="Arial" w:cs="Arial"/>
                <w:b w:val="0"/>
                <w:bCs w:val="0"/>
                <w:sz w:val="20"/>
                <w:szCs w:val="20"/>
              </w:rPr>
            </w:pPr>
            <w:r w:rsidRPr="00812A8E">
              <w:rPr>
                <w:rFonts w:ascii="Arial" w:hAnsi="Arial" w:cs="Arial"/>
                <w:b w:val="0"/>
                <w:bCs w:val="0"/>
                <w:sz w:val="20"/>
                <w:szCs w:val="20"/>
              </w:rPr>
              <w:t>128</w:t>
            </w:r>
          </w:p>
        </w:tc>
        <w:tc>
          <w:tcPr>
            <w:tcW w:w="4368" w:type="pct"/>
          </w:tcPr>
          <w:p w14:paraId="56A9389A" w14:textId="63DD4F7F" w:rsidR="005B7602" w:rsidRPr="00812A8E" w:rsidRDefault="005B7602" w:rsidP="00B37858">
            <w:pPr>
              <w:rPr>
                <w:rFonts w:ascii="Arial" w:hAnsi="Arial" w:cs="Arial"/>
                <w:color w:val="1F497D"/>
                <w:sz w:val="20"/>
                <w:szCs w:val="20"/>
              </w:rPr>
            </w:pPr>
            <w:r w:rsidRPr="00812A8E">
              <w:rPr>
                <w:rFonts w:ascii="Arial" w:hAnsi="Arial" w:cs="Arial"/>
                <w:sz w:val="20"/>
                <w:szCs w:val="20"/>
              </w:rPr>
              <w:t>Noncurrent Liabilities Due Less than one year – due within one year is description, shouldn’t this be current liabilities?</w:t>
            </w:r>
          </w:p>
        </w:tc>
      </w:tr>
      <w:tr w:rsidR="005B7602" w:rsidRPr="00812A8E" w14:paraId="357C071D" w14:textId="77777777" w:rsidTr="005B7602">
        <w:trPr>
          <w:trHeight w:val="116"/>
        </w:trPr>
        <w:tc>
          <w:tcPr>
            <w:tcW w:w="632" w:type="pct"/>
          </w:tcPr>
          <w:p w14:paraId="5C94A2C3" w14:textId="2B800103" w:rsidR="005B7602" w:rsidRPr="00812A8E" w:rsidRDefault="005B7602" w:rsidP="00B37858">
            <w:pPr>
              <w:pStyle w:val="Heading2"/>
              <w:keepNext w:val="0"/>
              <w:rPr>
                <w:rFonts w:ascii="Arial" w:hAnsi="Arial" w:cs="Arial"/>
                <w:b w:val="0"/>
                <w:bCs w:val="0"/>
                <w:sz w:val="20"/>
                <w:szCs w:val="20"/>
              </w:rPr>
            </w:pPr>
          </w:p>
        </w:tc>
        <w:tc>
          <w:tcPr>
            <w:tcW w:w="4368" w:type="pct"/>
          </w:tcPr>
          <w:p w14:paraId="0659937E" w14:textId="57CE2CF6" w:rsidR="005B7602" w:rsidRPr="00812A8E" w:rsidRDefault="005B7602" w:rsidP="00B37858">
            <w:pPr>
              <w:pStyle w:val="Default0"/>
              <w:rPr>
                <w:rFonts w:ascii="Arial" w:eastAsiaTheme="minorHAnsi" w:hAnsi="Arial" w:cs="Arial"/>
                <w:color w:val="auto"/>
                <w:sz w:val="20"/>
                <w:szCs w:val="20"/>
              </w:rPr>
            </w:pPr>
            <w:r w:rsidRPr="00812A8E">
              <w:rPr>
                <w:rFonts w:ascii="Arial" w:eastAsiaTheme="minorHAnsi" w:hAnsi="Arial" w:cs="Arial"/>
                <w:color w:val="auto"/>
                <w:sz w:val="20"/>
                <w:szCs w:val="20"/>
              </w:rPr>
              <w:t>We suggest updating the element to, “Noncurrent Liabilities Due in One Year.”  This element refers to average maturities.</w:t>
            </w:r>
          </w:p>
        </w:tc>
      </w:tr>
      <w:tr w:rsidR="005B7602" w:rsidRPr="00812A8E" w14:paraId="53C80446" w14:textId="77777777" w:rsidTr="005B7602">
        <w:trPr>
          <w:trHeight w:val="116"/>
        </w:trPr>
        <w:tc>
          <w:tcPr>
            <w:tcW w:w="632" w:type="pct"/>
          </w:tcPr>
          <w:p w14:paraId="48335060" w14:textId="77777777" w:rsidR="005B7602" w:rsidRPr="00812A8E" w:rsidRDefault="005B7602" w:rsidP="00B37858">
            <w:pPr>
              <w:pStyle w:val="Heading2"/>
              <w:keepNext w:val="0"/>
              <w:rPr>
                <w:rFonts w:ascii="Arial" w:hAnsi="Arial" w:cs="Arial"/>
                <w:b w:val="0"/>
                <w:bCs w:val="0"/>
                <w:sz w:val="20"/>
                <w:szCs w:val="20"/>
              </w:rPr>
            </w:pPr>
          </w:p>
        </w:tc>
        <w:tc>
          <w:tcPr>
            <w:tcW w:w="4368" w:type="pct"/>
          </w:tcPr>
          <w:p w14:paraId="4212515C" w14:textId="77777777" w:rsidR="005B7602" w:rsidRPr="00812A8E" w:rsidRDefault="005B7602" w:rsidP="00B37858">
            <w:pPr>
              <w:pStyle w:val="Default0"/>
              <w:rPr>
                <w:rFonts w:ascii="Arial" w:eastAsiaTheme="minorHAnsi" w:hAnsi="Arial" w:cs="Arial"/>
                <w:color w:val="auto"/>
                <w:sz w:val="20"/>
                <w:szCs w:val="20"/>
              </w:rPr>
            </w:pPr>
          </w:p>
        </w:tc>
      </w:tr>
      <w:tr w:rsidR="005B7602" w:rsidRPr="00812A8E" w14:paraId="1E3E32BC" w14:textId="77777777" w:rsidTr="005B7602">
        <w:trPr>
          <w:trHeight w:val="116"/>
        </w:trPr>
        <w:tc>
          <w:tcPr>
            <w:tcW w:w="632" w:type="pct"/>
          </w:tcPr>
          <w:p w14:paraId="372D3217" w14:textId="69121C34" w:rsidR="005B7602" w:rsidRPr="00812A8E" w:rsidRDefault="005B7602" w:rsidP="00B37858">
            <w:pPr>
              <w:pStyle w:val="Heading2"/>
              <w:keepNext w:val="0"/>
              <w:rPr>
                <w:rFonts w:ascii="Arial" w:hAnsi="Arial" w:cs="Arial"/>
                <w:b w:val="0"/>
                <w:bCs w:val="0"/>
                <w:sz w:val="20"/>
                <w:szCs w:val="20"/>
              </w:rPr>
            </w:pPr>
            <w:r w:rsidRPr="00812A8E">
              <w:rPr>
                <w:rFonts w:ascii="Arial" w:hAnsi="Arial" w:cs="Arial"/>
                <w:b w:val="0"/>
                <w:bCs w:val="0"/>
                <w:sz w:val="20"/>
                <w:szCs w:val="20"/>
              </w:rPr>
              <w:t>129</w:t>
            </w:r>
          </w:p>
        </w:tc>
        <w:tc>
          <w:tcPr>
            <w:tcW w:w="4368" w:type="pct"/>
          </w:tcPr>
          <w:p w14:paraId="57276AEF" w14:textId="361D1DF5" w:rsidR="005B7602" w:rsidRPr="00812A8E" w:rsidRDefault="005B7602" w:rsidP="0078778F">
            <w:pPr>
              <w:ind w:left="-20"/>
              <w:jc w:val="both"/>
              <w:rPr>
                <w:rFonts w:ascii="Arial" w:hAnsi="Arial" w:cs="Arial"/>
                <w:sz w:val="20"/>
                <w:szCs w:val="20"/>
              </w:rPr>
            </w:pPr>
            <w:r w:rsidRPr="00812A8E">
              <w:rPr>
                <w:rFonts w:ascii="Arial" w:hAnsi="Arial" w:cs="Arial"/>
                <w:sz w:val="20"/>
                <w:szCs w:val="20"/>
              </w:rPr>
              <w:t>We suggest updating the element to, “Noncurrent Liabilities Due in More than one Year.”  This element refers to average maturities.</w:t>
            </w:r>
          </w:p>
        </w:tc>
      </w:tr>
      <w:tr w:rsidR="005B7602" w:rsidRPr="00812A8E" w14:paraId="64FDAD68" w14:textId="77777777" w:rsidTr="005B7602">
        <w:trPr>
          <w:trHeight w:val="116"/>
        </w:trPr>
        <w:tc>
          <w:tcPr>
            <w:tcW w:w="632" w:type="pct"/>
          </w:tcPr>
          <w:p w14:paraId="6659FABC" w14:textId="528DEF5B" w:rsidR="005B7602" w:rsidRPr="00812A8E" w:rsidRDefault="005B7602" w:rsidP="00B37858">
            <w:pPr>
              <w:pStyle w:val="Heading2"/>
              <w:keepNext w:val="0"/>
              <w:rPr>
                <w:rFonts w:ascii="Arial" w:hAnsi="Arial" w:cs="Arial"/>
                <w:b w:val="0"/>
                <w:bCs w:val="0"/>
                <w:sz w:val="20"/>
                <w:szCs w:val="20"/>
              </w:rPr>
            </w:pPr>
          </w:p>
        </w:tc>
        <w:tc>
          <w:tcPr>
            <w:tcW w:w="4368" w:type="pct"/>
          </w:tcPr>
          <w:p w14:paraId="628A0C10" w14:textId="77777777" w:rsidR="005B7602" w:rsidRPr="00812A8E" w:rsidRDefault="005B7602" w:rsidP="00B37858">
            <w:pPr>
              <w:pStyle w:val="Default0"/>
              <w:rPr>
                <w:rFonts w:ascii="Arial" w:eastAsiaTheme="minorHAnsi" w:hAnsi="Arial" w:cs="Arial"/>
                <w:color w:val="auto"/>
                <w:sz w:val="20"/>
                <w:szCs w:val="20"/>
              </w:rPr>
            </w:pPr>
          </w:p>
        </w:tc>
      </w:tr>
      <w:tr w:rsidR="005B7602" w:rsidRPr="00812A8E" w14:paraId="641AB670" w14:textId="77777777" w:rsidTr="005B7602">
        <w:trPr>
          <w:trHeight w:val="116"/>
        </w:trPr>
        <w:tc>
          <w:tcPr>
            <w:tcW w:w="632" w:type="pct"/>
          </w:tcPr>
          <w:p w14:paraId="016DD34B" w14:textId="1D06FE12" w:rsidR="005B7602" w:rsidRPr="00812A8E" w:rsidRDefault="005B7602" w:rsidP="00B37858">
            <w:pPr>
              <w:pStyle w:val="Heading2"/>
              <w:keepNext w:val="0"/>
              <w:rPr>
                <w:rFonts w:ascii="Arial" w:hAnsi="Arial" w:cs="Arial"/>
                <w:b w:val="0"/>
                <w:bCs w:val="0"/>
                <w:sz w:val="20"/>
                <w:szCs w:val="20"/>
              </w:rPr>
            </w:pPr>
            <w:r w:rsidRPr="00812A8E">
              <w:rPr>
                <w:rFonts w:ascii="Arial" w:hAnsi="Arial" w:cs="Arial"/>
                <w:b w:val="0"/>
                <w:bCs w:val="0"/>
                <w:sz w:val="20"/>
                <w:szCs w:val="20"/>
              </w:rPr>
              <w:t>131</w:t>
            </w:r>
          </w:p>
        </w:tc>
        <w:tc>
          <w:tcPr>
            <w:tcW w:w="4368" w:type="pct"/>
          </w:tcPr>
          <w:p w14:paraId="1F5A3E74" w14:textId="23245CE8" w:rsidR="005B7602" w:rsidRPr="00812A8E" w:rsidRDefault="005B7602" w:rsidP="00B37858">
            <w:pPr>
              <w:rPr>
                <w:rFonts w:ascii="Arial" w:hAnsi="Arial" w:cs="Arial"/>
                <w:color w:val="000000"/>
                <w:sz w:val="20"/>
                <w:szCs w:val="20"/>
              </w:rPr>
            </w:pPr>
            <w:r w:rsidRPr="00812A8E">
              <w:rPr>
                <w:rFonts w:ascii="Arial" w:hAnsi="Arial" w:cs="Arial"/>
                <w:color w:val="000000"/>
                <w:sz w:val="20"/>
                <w:szCs w:val="20"/>
              </w:rPr>
              <w:t>Fund Balance can also have a nonexpendable component. See line 134.</w:t>
            </w:r>
          </w:p>
        </w:tc>
      </w:tr>
      <w:tr w:rsidR="005B7602" w:rsidRPr="00812A8E" w14:paraId="1BB2575B" w14:textId="77777777" w:rsidTr="005B7602">
        <w:trPr>
          <w:trHeight w:val="116"/>
        </w:trPr>
        <w:tc>
          <w:tcPr>
            <w:tcW w:w="632" w:type="pct"/>
          </w:tcPr>
          <w:p w14:paraId="5FDDC9EE" w14:textId="77777777" w:rsidR="005B7602" w:rsidRPr="00812A8E" w:rsidRDefault="005B7602" w:rsidP="00B37858">
            <w:pPr>
              <w:pStyle w:val="Heading2"/>
              <w:keepNext w:val="0"/>
              <w:rPr>
                <w:rFonts w:ascii="Arial" w:hAnsi="Arial" w:cs="Arial"/>
                <w:b w:val="0"/>
                <w:bCs w:val="0"/>
                <w:sz w:val="20"/>
                <w:szCs w:val="20"/>
              </w:rPr>
            </w:pPr>
          </w:p>
        </w:tc>
        <w:tc>
          <w:tcPr>
            <w:tcW w:w="4368" w:type="pct"/>
          </w:tcPr>
          <w:p w14:paraId="2B19E6A7" w14:textId="77777777" w:rsidR="005B7602" w:rsidRPr="00812A8E" w:rsidRDefault="005B7602" w:rsidP="00B37858">
            <w:pPr>
              <w:pStyle w:val="Default0"/>
              <w:rPr>
                <w:rFonts w:ascii="Arial" w:eastAsiaTheme="minorHAnsi" w:hAnsi="Arial" w:cs="Arial"/>
                <w:color w:val="auto"/>
                <w:sz w:val="20"/>
                <w:szCs w:val="20"/>
              </w:rPr>
            </w:pPr>
          </w:p>
        </w:tc>
      </w:tr>
      <w:tr w:rsidR="005B7602" w:rsidRPr="00812A8E" w14:paraId="51A74452" w14:textId="77777777" w:rsidTr="005B7602">
        <w:trPr>
          <w:trHeight w:val="116"/>
        </w:trPr>
        <w:tc>
          <w:tcPr>
            <w:tcW w:w="632" w:type="pct"/>
          </w:tcPr>
          <w:p w14:paraId="030D57D6" w14:textId="7908257B" w:rsidR="005B7602" w:rsidRPr="00812A8E" w:rsidRDefault="005B7602" w:rsidP="00B37858">
            <w:pPr>
              <w:pStyle w:val="Heading2"/>
              <w:keepNext w:val="0"/>
              <w:rPr>
                <w:rFonts w:ascii="Arial" w:hAnsi="Arial" w:cs="Arial"/>
                <w:b w:val="0"/>
                <w:bCs w:val="0"/>
                <w:sz w:val="20"/>
                <w:szCs w:val="20"/>
              </w:rPr>
            </w:pPr>
            <w:r w:rsidRPr="00812A8E">
              <w:rPr>
                <w:rFonts w:ascii="Arial" w:hAnsi="Arial" w:cs="Arial"/>
                <w:b w:val="0"/>
                <w:bCs w:val="0"/>
                <w:sz w:val="20"/>
                <w:szCs w:val="20"/>
              </w:rPr>
              <w:t>132</w:t>
            </w:r>
          </w:p>
        </w:tc>
        <w:tc>
          <w:tcPr>
            <w:tcW w:w="4368" w:type="pct"/>
          </w:tcPr>
          <w:p w14:paraId="48E343A7" w14:textId="664A784A" w:rsidR="005B7602" w:rsidRPr="00812A8E" w:rsidRDefault="005B7602" w:rsidP="00B37858">
            <w:pPr>
              <w:pStyle w:val="Default0"/>
              <w:rPr>
                <w:rFonts w:ascii="Arial" w:eastAsiaTheme="minorHAnsi" w:hAnsi="Arial" w:cs="Arial"/>
                <w:color w:val="auto"/>
                <w:sz w:val="20"/>
                <w:szCs w:val="20"/>
              </w:rPr>
            </w:pPr>
            <w:r w:rsidRPr="00812A8E">
              <w:rPr>
                <w:rFonts w:ascii="Arial" w:hAnsi="Arial" w:cs="Arial"/>
                <w:sz w:val="20"/>
                <w:szCs w:val="20"/>
              </w:rPr>
              <w:t>The term minor funds should be changed to nonmajor funds.</w:t>
            </w:r>
          </w:p>
        </w:tc>
      </w:tr>
      <w:tr w:rsidR="005B7602" w:rsidRPr="00812A8E" w14:paraId="070BEC17" w14:textId="77777777" w:rsidTr="005B7602">
        <w:trPr>
          <w:trHeight w:val="116"/>
        </w:trPr>
        <w:tc>
          <w:tcPr>
            <w:tcW w:w="632" w:type="pct"/>
          </w:tcPr>
          <w:p w14:paraId="311B15A4" w14:textId="77777777" w:rsidR="005B7602" w:rsidRPr="00812A8E" w:rsidRDefault="005B7602" w:rsidP="00B37858">
            <w:pPr>
              <w:pStyle w:val="Heading2"/>
              <w:keepNext w:val="0"/>
              <w:rPr>
                <w:rFonts w:ascii="Arial" w:hAnsi="Arial" w:cs="Arial"/>
                <w:b w:val="0"/>
                <w:bCs w:val="0"/>
                <w:sz w:val="20"/>
                <w:szCs w:val="20"/>
              </w:rPr>
            </w:pPr>
          </w:p>
        </w:tc>
        <w:tc>
          <w:tcPr>
            <w:tcW w:w="4368" w:type="pct"/>
          </w:tcPr>
          <w:p w14:paraId="39BF9D8D" w14:textId="77777777" w:rsidR="005B7602" w:rsidRPr="00812A8E" w:rsidRDefault="005B7602" w:rsidP="00B37858">
            <w:pPr>
              <w:pStyle w:val="Default0"/>
              <w:rPr>
                <w:rFonts w:ascii="Arial" w:eastAsiaTheme="minorHAnsi" w:hAnsi="Arial" w:cs="Arial"/>
                <w:color w:val="auto"/>
                <w:sz w:val="20"/>
                <w:szCs w:val="20"/>
              </w:rPr>
            </w:pPr>
          </w:p>
        </w:tc>
      </w:tr>
      <w:tr w:rsidR="005B7602" w:rsidRPr="00812A8E" w14:paraId="1B7E4D9F" w14:textId="77777777" w:rsidTr="005B7602">
        <w:trPr>
          <w:trHeight w:val="116"/>
        </w:trPr>
        <w:tc>
          <w:tcPr>
            <w:tcW w:w="632" w:type="pct"/>
          </w:tcPr>
          <w:p w14:paraId="1B6ACB77" w14:textId="4B4B570F" w:rsidR="005B7602" w:rsidRPr="00812A8E" w:rsidRDefault="005B7602" w:rsidP="00B37858">
            <w:pPr>
              <w:pStyle w:val="Heading2"/>
              <w:keepNext w:val="0"/>
              <w:rPr>
                <w:rFonts w:ascii="Arial" w:hAnsi="Arial" w:cs="Arial"/>
                <w:b w:val="0"/>
                <w:bCs w:val="0"/>
                <w:sz w:val="20"/>
                <w:szCs w:val="20"/>
              </w:rPr>
            </w:pPr>
            <w:r w:rsidRPr="00812A8E">
              <w:rPr>
                <w:rFonts w:ascii="Arial" w:hAnsi="Arial" w:cs="Arial"/>
                <w:b w:val="0"/>
                <w:bCs w:val="0"/>
                <w:sz w:val="20"/>
                <w:szCs w:val="20"/>
              </w:rPr>
              <w:t xml:space="preserve">135 </w:t>
            </w:r>
          </w:p>
        </w:tc>
        <w:tc>
          <w:tcPr>
            <w:tcW w:w="4368" w:type="pct"/>
          </w:tcPr>
          <w:p w14:paraId="53F93BF7" w14:textId="4C703EFE" w:rsidR="005B7602" w:rsidRPr="00812A8E" w:rsidRDefault="005B7602" w:rsidP="001E2046">
            <w:pPr>
              <w:ind w:left="-20" w:firstLine="20"/>
              <w:jc w:val="both"/>
              <w:rPr>
                <w:rFonts w:ascii="Arial" w:hAnsi="Arial" w:cs="Arial"/>
                <w:sz w:val="20"/>
                <w:szCs w:val="20"/>
              </w:rPr>
            </w:pPr>
            <w:r w:rsidRPr="00812A8E">
              <w:rPr>
                <w:rFonts w:ascii="Arial" w:hAnsi="Arial" w:cs="Arial"/>
                <w:sz w:val="20"/>
                <w:szCs w:val="20"/>
              </w:rPr>
              <w:t>We are unsure as to what this element is referring.</w:t>
            </w:r>
          </w:p>
        </w:tc>
      </w:tr>
      <w:tr w:rsidR="005B7602" w:rsidRPr="00812A8E" w14:paraId="0D1A136B" w14:textId="77777777" w:rsidTr="005B7602">
        <w:trPr>
          <w:trHeight w:val="116"/>
        </w:trPr>
        <w:tc>
          <w:tcPr>
            <w:tcW w:w="632" w:type="pct"/>
          </w:tcPr>
          <w:p w14:paraId="222D053E" w14:textId="77777777" w:rsidR="005B7602" w:rsidRPr="00812A8E" w:rsidRDefault="005B7602" w:rsidP="00D03FD3">
            <w:pPr>
              <w:pStyle w:val="Heading2"/>
              <w:keepNext w:val="0"/>
              <w:rPr>
                <w:rFonts w:ascii="Arial" w:hAnsi="Arial" w:cs="Arial"/>
                <w:b w:val="0"/>
                <w:bCs w:val="0"/>
                <w:sz w:val="20"/>
                <w:szCs w:val="20"/>
              </w:rPr>
            </w:pPr>
          </w:p>
        </w:tc>
        <w:tc>
          <w:tcPr>
            <w:tcW w:w="4368" w:type="pct"/>
          </w:tcPr>
          <w:p w14:paraId="05D31004" w14:textId="77777777" w:rsidR="005B7602" w:rsidRPr="00812A8E" w:rsidRDefault="005B7602" w:rsidP="00D03FD3">
            <w:pPr>
              <w:pStyle w:val="Default0"/>
              <w:rPr>
                <w:rFonts w:ascii="Arial" w:eastAsiaTheme="minorHAnsi" w:hAnsi="Arial" w:cs="Arial"/>
                <w:color w:val="auto"/>
                <w:sz w:val="20"/>
                <w:szCs w:val="20"/>
              </w:rPr>
            </w:pPr>
          </w:p>
        </w:tc>
      </w:tr>
      <w:tr w:rsidR="005B7602" w:rsidRPr="00812A8E" w14:paraId="7F72B8C4" w14:textId="77777777" w:rsidTr="005B7602">
        <w:trPr>
          <w:trHeight w:val="116"/>
        </w:trPr>
        <w:tc>
          <w:tcPr>
            <w:tcW w:w="632" w:type="pct"/>
          </w:tcPr>
          <w:p w14:paraId="72313405" w14:textId="447D68A3" w:rsidR="005B7602" w:rsidRPr="00812A8E" w:rsidRDefault="005B7602" w:rsidP="00B37858">
            <w:pPr>
              <w:pStyle w:val="Heading2"/>
              <w:keepNext w:val="0"/>
              <w:rPr>
                <w:rFonts w:ascii="Arial" w:hAnsi="Arial" w:cs="Arial"/>
                <w:b w:val="0"/>
                <w:bCs w:val="0"/>
                <w:sz w:val="20"/>
                <w:szCs w:val="20"/>
              </w:rPr>
            </w:pPr>
            <w:r w:rsidRPr="00812A8E">
              <w:rPr>
                <w:rFonts w:ascii="Arial" w:hAnsi="Arial" w:cs="Arial"/>
                <w:b w:val="0"/>
                <w:bCs w:val="0"/>
                <w:sz w:val="20"/>
                <w:szCs w:val="20"/>
              </w:rPr>
              <w:t>136</w:t>
            </w:r>
          </w:p>
        </w:tc>
        <w:tc>
          <w:tcPr>
            <w:tcW w:w="4368" w:type="pct"/>
          </w:tcPr>
          <w:p w14:paraId="40365549" w14:textId="32C3D7E8" w:rsidR="005B7602" w:rsidRPr="00812A8E" w:rsidRDefault="005B7602" w:rsidP="00B37858">
            <w:pPr>
              <w:spacing w:after="120"/>
              <w:jc w:val="both"/>
              <w:rPr>
                <w:rFonts w:ascii="Arial" w:hAnsi="Arial" w:cs="Arial"/>
                <w:color w:val="000000" w:themeColor="text1"/>
                <w:sz w:val="20"/>
                <w:szCs w:val="20"/>
              </w:rPr>
            </w:pPr>
            <w:r w:rsidRPr="00812A8E">
              <w:rPr>
                <w:rFonts w:ascii="Arial" w:hAnsi="Arial" w:cs="Arial"/>
                <w:color w:val="000000" w:themeColor="text1"/>
                <w:sz w:val="20"/>
                <w:szCs w:val="20"/>
              </w:rPr>
              <w:t>I assume this relates to the Government-wide Statement of Activities - this should be stated.</w:t>
            </w:r>
          </w:p>
        </w:tc>
      </w:tr>
      <w:tr w:rsidR="005B7602" w:rsidRPr="00812A8E" w14:paraId="5387371C" w14:textId="77777777" w:rsidTr="005B7602">
        <w:trPr>
          <w:trHeight w:val="116"/>
        </w:trPr>
        <w:tc>
          <w:tcPr>
            <w:tcW w:w="632" w:type="pct"/>
          </w:tcPr>
          <w:p w14:paraId="594BE5EE" w14:textId="77777777" w:rsidR="005B7602" w:rsidRPr="00812A8E" w:rsidRDefault="005B7602" w:rsidP="00B37858">
            <w:pPr>
              <w:pStyle w:val="Heading2"/>
              <w:keepNext w:val="0"/>
              <w:rPr>
                <w:rFonts w:ascii="Arial" w:hAnsi="Arial" w:cs="Arial"/>
                <w:b w:val="0"/>
                <w:bCs w:val="0"/>
                <w:sz w:val="20"/>
                <w:szCs w:val="20"/>
              </w:rPr>
            </w:pPr>
          </w:p>
        </w:tc>
        <w:tc>
          <w:tcPr>
            <w:tcW w:w="4368" w:type="pct"/>
          </w:tcPr>
          <w:p w14:paraId="327BD42B" w14:textId="77777777" w:rsidR="005B7602" w:rsidRPr="00812A8E" w:rsidRDefault="005B7602" w:rsidP="00B37858">
            <w:pPr>
              <w:pStyle w:val="Default0"/>
              <w:rPr>
                <w:rFonts w:ascii="Arial" w:eastAsiaTheme="minorHAnsi" w:hAnsi="Arial" w:cs="Arial"/>
                <w:color w:val="auto"/>
                <w:sz w:val="20"/>
                <w:szCs w:val="20"/>
              </w:rPr>
            </w:pPr>
          </w:p>
        </w:tc>
      </w:tr>
      <w:tr w:rsidR="005B7602" w:rsidRPr="00812A8E" w14:paraId="50EAD743" w14:textId="77777777" w:rsidTr="005B7602">
        <w:trPr>
          <w:trHeight w:val="116"/>
        </w:trPr>
        <w:tc>
          <w:tcPr>
            <w:tcW w:w="632" w:type="pct"/>
          </w:tcPr>
          <w:p w14:paraId="57CF9B1D" w14:textId="04462702" w:rsidR="005B7602" w:rsidRPr="00812A8E" w:rsidRDefault="005B7602" w:rsidP="00B37858">
            <w:pPr>
              <w:pStyle w:val="Heading2"/>
              <w:keepNext w:val="0"/>
              <w:rPr>
                <w:rFonts w:ascii="Arial" w:hAnsi="Arial" w:cs="Arial"/>
                <w:b w:val="0"/>
                <w:bCs w:val="0"/>
                <w:sz w:val="20"/>
                <w:szCs w:val="20"/>
              </w:rPr>
            </w:pPr>
            <w:r w:rsidRPr="00812A8E">
              <w:rPr>
                <w:rFonts w:ascii="Arial" w:hAnsi="Arial" w:cs="Arial"/>
                <w:b w:val="0"/>
                <w:bCs w:val="0"/>
                <w:sz w:val="20"/>
                <w:szCs w:val="20"/>
              </w:rPr>
              <w:t>139</w:t>
            </w:r>
          </w:p>
        </w:tc>
        <w:tc>
          <w:tcPr>
            <w:tcW w:w="4368" w:type="pct"/>
          </w:tcPr>
          <w:p w14:paraId="5E85DFE2" w14:textId="2AD69AB1" w:rsidR="005B7602" w:rsidRPr="00812A8E" w:rsidRDefault="005B7602" w:rsidP="00B37858">
            <w:pPr>
              <w:rPr>
                <w:rFonts w:ascii="Arial" w:hAnsi="Arial" w:cs="Arial"/>
                <w:color w:val="000000"/>
                <w:sz w:val="20"/>
                <w:szCs w:val="20"/>
              </w:rPr>
            </w:pPr>
            <w:r w:rsidRPr="00812A8E">
              <w:rPr>
                <w:rFonts w:ascii="Arial" w:hAnsi="Arial" w:cs="Arial"/>
                <w:color w:val="000000"/>
                <w:sz w:val="20"/>
                <w:szCs w:val="20"/>
              </w:rPr>
              <w:t>Long-term or short-term or both?</w:t>
            </w:r>
          </w:p>
        </w:tc>
      </w:tr>
      <w:tr w:rsidR="005B7602" w:rsidRPr="00812A8E" w14:paraId="4AC2E4BF" w14:textId="77777777" w:rsidTr="005B7602">
        <w:trPr>
          <w:trHeight w:val="116"/>
        </w:trPr>
        <w:tc>
          <w:tcPr>
            <w:tcW w:w="632" w:type="pct"/>
          </w:tcPr>
          <w:p w14:paraId="0C8DF5AA" w14:textId="77777777" w:rsidR="005B7602" w:rsidRPr="00812A8E" w:rsidRDefault="005B7602" w:rsidP="00B37858">
            <w:pPr>
              <w:pStyle w:val="Heading2"/>
              <w:keepNext w:val="0"/>
              <w:rPr>
                <w:rFonts w:ascii="Arial" w:hAnsi="Arial" w:cs="Arial"/>
                <w:b w:val="0"/>
                <w:bCs w:val="0"/>
                <w:sz w:val="20"/>
                <w:szCs w:val="20"/>
              </w:rPr>
            </w:pPr>
          </w:p>
        </w:tc>
        <w:tc>
          <w:tcPr>
            <w:tcW w:w="4368" w:type="pct"/>
          </w:tcPr>
          <w:p w14:paraId="1A625E28" w14:textId="77777777" w:rsidR="005B7602" w:rsidRPr="00812A8E" w:rsidRDefault="005B7602" w:rsidP="00B37858">
            <w:pPr>
              <w:pStyle w:val="Default0"/>
              <w:rPr>
                <w:rFonts w:ascii="Arial" w:eastAsiaTheme="minorHAnsi" w:hAnsi="Arial" w:cs="Arial"/>
                <w:color w:val="auto"/>
                <w:sz w:val="20"/>
                <w:szCs w:val="20"/>
              </w:rPr>
            </w:pPr>
          </w:p>
        </w:tc>
      </w:tr>
      <w:tr w:rsidR="005B7602" w:rsidRPr="00812A8E" w14:paraId="265E7B10" w14:textId="77777777" w:rsidTr="005B7602">
        <w:trPr>
          <w:trHeight w:val="116"/>
        </w:trPr>
        <w:tc>
          <w:tcPr>
            <w:tcW w:w="632" w:type="pct"/>
          </w:tcPr>
          <w:p w14:paraId="31CE406A" w14:textId="47FD587F" w:rsidR="005B7602" w:rsidRPr="00812A8E" w:rsidRDefault="005B7602" w:rsidP="00B37858">
            <w:pPr>
              <w:pStyle w:val="Heading2"/>
              <w:keepNext w:val="0"/>
              <w:rPr>
                <w:rFonts w:ascii="Arial" w:hAnsi="Arial" w:cs="Arial"/>
                <w:b w:val="0"/>
                <w:bCs w:val="0"/>
                <w:sz w:val="20"/>
                <w:szCs w:val="20"/>
              </w:rPr>
            </w:pPr>
            <w:r w:rsidRPr="00812A8E">
              <w:rPr>
                <w:rFonts w:ascii="Arial" w:hAnsi="Arial" w:cs="Arial"/>
                <w:b w:val="0"/>
                <w:bCs w:val="0"/>
                <w:sz w:val="20"/>
                <w:szCs w:val="20"/>
              </w:rPr>
              <w:t>140</w:t>
            </w:r>
          </w:p>
        </w:tc>
        <w:tc>
          <w:tcPr>
            <w:tcW w:w="4368" w:type="pct"/>
          </w:tcPr>
          <w:p w14:paraId="5710461C" w14:textId="071B9E71" w:rsidR="005B7602" w:rsidRPr="00812A8E" w:rsidRDefault="005B7602" w:rsidP="00B37858">
            <w:pPr>
              <w:rPr>
                <w:rFonts w:ascii="Arial" w:hAnsi="Arial" w:cs="Arial"/>
                <w:color w:val="000000"/>
                <w:sz w:val="20"/>
                <w:szCs w:val="20"/>
              </w:rPr>
            </w:pPr>
            <w:r w:rsidRPr="00812A8E">
              <w:rPr>
                <w:rFonts w:ascii="Arial" w:hAnsi="Arial" w:cs="Arial"/>
                <w:sz w:val="20"/>
                <w:szCs w:val="20"/>
              </w:rPr>
              <w:t>We are unsure as to what this element is referring.</w:t>
            </w:r>
          </w:p>
        </w:tc>
      </w:tr>
      <w:tr w:rsidR="005B7602" w:rsidRPr="00812A8E" w14:paraId="05289D27" w14:textId="77777777" w:rsidTr="005B7602">
        <w:trPr>
          <w:trHeight w:val="116"/>
        </w:trPr>
        <w:tc>
          <w:tcPr>
            <w:tcW w:w="632" w:type="pct"/>
          </w:tcPr>
          <w:p w14:paraId="58D33418" w14:textId="68B38C54" w:rsidR="005B7602" w:rsidRPr="00812A8E" w:rsidRDefault="005B7602" w:rsidP="001E2046">
            <w:pPr>
              <w:pStyle w:val="Heading2"/>
              <w:keepNext w:val="0"/>
              <w:rPr>
                <w:rFonts w:ascii="Arial" w:hAnsi="Arial" w:cs="Arial"/>
                <w:b w:val="0"/>
                <w:bCs w:val="0"/>
                <w:sz w:val="20"/>
                <w:szCs w:val="20"/>
              </w:rPr>
            </w:pPr>
          </w:p>
        </w:tc>
        <w:tc>
          <w:tcPr>
            <w:tcW w:w="4368" w:type="pct"/>
          </w:tcPr>
          <w:p w14:paraId="578785E6" w14:textId="19956ACB" w:rsidR="005B7602" w:rsidRPr="00812A8E" w:rsidRDefault="005B7602" w:rsidP="001E2046">
            <w:pPr>
              <w:pStyle w:val="Default0"/>
              <w:rPr>
                <w:rFonts w:ascii="Arial" w:eastAsiaTheme="minorHAnsi" w:hAnsi="Arial" w:cs="Arial"/>
                <w:color w:val="auto"/>
                <w:sz w:val="20"/>
                <w:szCs w:val="20"/>
              </w:rPr>
            </w:pPr>
            <w:r w:rsidRPr="00812A8E">
              <w:rPr>
                <w:rFonts w:ascii="Arial" w:hAnsi="Arial" w:cs="Arial"/>
                <w:sz w:val="20"/>
                <w:szCs w:val="20"/>
              </w:rPr>
              <w:t>I do not understand why these definitions include or exclude transfers?</w:t>
            </w:r>
          </w:p>
        </w:tc>
      </w:tr>
      <w:tr w:rsidR="005B7602" w:rsidRPr="00812A8E" w14:paraId="06175D5C" w14:textId="77777777" w:rsidTr="005B7602">
        <w:trPr>
          <w:trHeight w:val="116"/>
        </w:trPr>
        <w:tc>
          <w:tcPr>
            <w:tcW w:w="632" w:type="pct"/>
          </w:tcPr>
          <w:p w14:paraId="3EB291A7" w14:textId="77777777" w:rsidR="005B7602" w:rsidRPr="00812A8E" w:rsidRDefault="005B7602" w:rsidP="001E2046">
            <w:pPr>
              <w:pStyle w:val="Heading2"/>
              <w:keepNext w:val="0"/>
              <w:rPr>
                <w:rFonts w:ascii="Arial" w:hAnsi="Arial" w:cs="Arial"/>
                <w:b w:val="0"/>
                <w:bCs w:val="0"/>
                <w:sz w:val="20"/>
                <w:szCs w:val="20"/>
              </w:rPr>
            </w:pPr>
          </w:p>
        </w:tc>
        <w:tc>
          <w:tcPr>
            <w:tcW w:w="4368" w:type="pct"/>
          </w:tcPr>
          <w:p w14:paraId="525E48B0" w14:textId="77777777" w:rsidR="005B7602" w:rsidRPr="00812A8E" w:rsidRDefault="005B7602" w:rsidP="001E2046">
            <w:pPr>
              <w:pStyle w:val="Default0"/>
              <w:rPr>
                <w:rFonts w:ascii="Arial" w:eastAsiaTheme="minorHAnsi" w:hAnsi="Arial" w:cs="Arial"/>
                <w:color w:val="auto"/>
                <w:sz w:val="20"/>
                <w:szCs w:val="20"/>
              </w:rPr>
            </w:pPr>
          </w:p>
        </w:tc>
      </w:tr>
      <w:tr w:rsidR="005B7602" w:rsidRPr="00812A8E" w14:paraId="2E24D85D" w14:textId="77777777" w:rsidTr="005B7602">
        <w:trPr>
          <w:trHeight w:val="116"/>
        </w:trPr>
        <w:tc>
          <w:tcPr>
            <w:tcW w:w="632" w:type="pct"/>
          </w:tcPr>
          <w:p w14:paraId="396BBD05" w14:textId="61742086" w:rsidR="005B7602" w:rsidRPr="00812A8E" w:rsidRDefault="005B7602" w:rsidP="001E2046">
            <w:pPr>
              <w:pStyle w:val="Heading2"/>
              <w:keepNext w:val="0"/>
              <w:rPr>
                <w:rFonts w:ascii="Arial" w:hAnsi="Arial" w:cs="Arial"/>
                <w:b w:val="0"/>
                <w:bCs w:val="0"/>
                <w:sz w:val="20"/>
                <w:szCs w:val="20"/>
              </w:rPr>
            </w:pPr>
            <w:r w:rsidRPr="00812A8E">
              <w:rPr>
                <w:rFonts w:ascii="Arial" w:hAnsi="Arial" w:cs="Arial"/>
                <w:b w:val="0"/>
                <w:bCs w:val="0"/>
                <w:sz w:val="20"/>
                <w:szCs w:val="20"/>
              </w:rPr>
              <w:t>141</w:t>
            </w:r>
          </w:p>
        </w:tc>
        <w:tc>
          <w:tcPr>
            <w:tcW w:w="4368" w:type="pct"/>
          </w:tcPr>
          <w:p w14:paraId="14B9920E" w14:textId="7EA21FAA" w:rsidR="005B7602" w:rsidRPr="00812A8E" w:rsidRDefault="005B7602" w:rsidP="001E2046">
            <w:pPr>
              <w:pStyle w:val="Default0"/>
              <w:rPr>
                <w:rFonts w:ascii="Arial" w:eastAsiaTheme="minorHAnsi" w:hAnsi="Arial" w:cs="Arial"/>
                <w:color w:val="auto"/>
                <w:sz w:val="20"/>
                <w:szCs w:val="20"/>
              </w:rPr>
            </w:pPr>
            <w:r w:rsidRPr="00812A8E">
              <w:rPr>
                <w:rFonts w:ascii="Arial" w:eastAsiaTheme="minorHAnsi" w:hAnsi="Arial" w:cs="Arial"/>
                <w:color w:val="auto"/>
                <w:sz w:val="20"/>
                <w:szCs w:val="20"/>
              </w:rPr>
              <w:t>We are unsure as to what this element is referring.</w:t>
            </w:r>
          </w:p>
        </w:tc>
      </w:tr>
      <w:tr w:rsidR="005B7602" w:rsidRPr="00812A8E" w14:paraId="032E214C" w14:textId="77777777" w:rsidTr="005B7602">
        <w:trPr>
          <w:trHeight w:val="116"/>
        </w:trPr>
        <w:tc>
          <w:tcPr>
            <w:tcW w:w="632" w:type="pct"/>
          </w:tcPr>
          <w:p w14:paraId="1E94E3F1" w14:textId="4B1B7437" w:rsidR="005B7602" w:rsidRPr="00812A8E" w:rsidRDefault="005B7602" w:rsidP="001E2046">
            <w:pPr>
              <w:pStyle w:val="Heading2"/>
              <w:keepNext w:val="0"/>
              <w:rPr>
                <w:rFonts w:ascii="Arial" w:hAnsi="Arial" w:cs="Arial"/>
                <w:b w:val="0"/>
                <w:bCs w:val="0"/>
                <w:sz w:val="20"/>
                <w:szCs w:val="20"/>
              </w:rPr>
            </w:pPr>
          </w:p>
        </w:tc>
        <w:tc>
          <w:tcPr>
            <w:tcW w:w="4368" w:type="pct"/>
          </w:tcPr>
          <w:p w14:paraId="0683A3C3" w14:textId="73C6FCE7" w:rsidR="005B7602" w:rsidRPr="00812A8E" w:rsidRDefault="005B7602" w:rsidP="001E2046">
            <w:pPr>
              <w:pStyle w:val="Default0"/>
              <w:rPr>
                <w:rFonts w:ascii="Arial" w:eastAsiaTheme="minorHAnsi" w:hAnsi="Arial" w:cs="Arial"/>
                <w:color w:val="auto"/>
                <w:sz w:val="20"/>
                <w:szCs w:val="20"/>
              </w:rPr>
            </w:pPr>
            <w:r w:rsidRPr="00812A8E">
              <w:rPr>
                <w:rFonts w:ascii="Arial" w:eastAsiaTheme="minorHAnsi" w:hAnsi="Arial" w:cs="Arial"/>
                <w:color w:val="auto"/>
                <w:sz w:val="20"/>
                <w:szCs w:val="20"/>
              </w:rPr>
              <w:t>I do not understand why these definitions include or exclude transfers?</w:t>
            </w:r>
          </w:p>
        </w:tc>
      </w:tr>
      <w:tr w:rsidR="005B7602" w:rsidRPr="00812A8E" w14:paraId="21367622" w14:textId="77777777" w:rsidTr="005B7602">
        <w:trPr>
          <w:trHeight w:val="116"/>
        </w:trPr>
        <w:tc>
          <w:tcPr>
            <w:tcW w:w="632" w:type="pct"/>
          </w:tcPr>
          <w:p w14:paraId="27480748" w14:textId="77777777" w:rsidR="005B7602" w:rsidRPr="00812A8E" w:rsidRDefault="005B7602" w:rsidP="001E2046">
            <w:pPr>
              <w:pStyle w:val="Heading2"/>
              <w:keepNext w:val="0"/>
              <w:rPr>
                <w:rFonts w:ascii="Arial" w:hAnsi="Arial" w:cs="Arial"/>
                <w:b w:val="0"/>
                <w:bCs w:val="0"/>
                <w:sz w:val="20"/>
                <w:szCs w:val="20"/>
              </w:rPr>
            </w:pPr>
          </w:p>
        </w:tc>
        <w:tc>
          <w:tcPr>
            <w:tcW w:w="4368" w:type="pct"/>
          </w:tcPr>
          <w:p w14:paraId="30D973A6" w14:textId="77777777" w:rsidR="005B7602" w:rsidRPr="00812A8E" w:rsidRDefault="005B7602" w:rsidP="001E2046">
            <w:pPr>
              <w:pStyle w:val="Default0"/>
              <w:rPr>
                <w:rFonts w:ascii="Arial" w:eastAsiaTheme="minorHAnsi" w:hAnsi="Arial" w:cs="Arial"/>
                <w:color w:val="auto"/>
                <w:sz w:val="20"/>
                <w:szCs w:val="20"/>
              </w:rPr>
            </w:pPr>
          </w:p>
        </w:tc>
      </w:tr>
      <w:tr w:rsidR="005B7602" w:rsidRPr="00812A8E" w14:paraId="70B833A7" w14:textId="77777777" w:rsidTr="005B7602">
        <w:trPr>
          <w:trHeight w:val="116"/>
        </w:trPr>
        <w:tc>
          <w:tcPr>
            <w:tcW w:w="632" w:type="pct"/>
          </w:tcPr>
          <w:p w14:paraId="639FFED6" w14:textId="283BD023" w:rsidR="005B7602" w:rsidRPr="00812A8E" w:rsidRDefault="005B7602" w:rsidP="001E2046">
            <w:pPr>
              <w:pStyle w:val="Heading2"/>
              <w:keepNext w:val="0"/>
              <w:rPr>
                <w:rFonts w:ascii="Arial" w:hAnsi="Arial" w:cs="Arial"/>
                <w:b w:val="0"/>
                <w:bCs w:val="0"/>
                <w:sz w:val="20"/>
                <w:szCs w:val="20"/>
              </w:rPr>
            </w:pPr>
            <w:r w:rsidRPr="00812A8E">
              <w:rPr>
                <w:rFonts w:ascii="Arial" w:hAnsi="Arial" w:cs="Arial"/>
                <w:b w:val="0"/>
                <w:bCs w:val="0"/>
                <w:sz w:val="20"/>
                <w:szCs w:val="20"/>
              </w:rPr>
              <w:t>142</w:t>
            </w:r>
          </w:p>
        </w:tc>
        <w:tc>
          <w:tcPr>
            <w:tcW w:w="4368" w:type="pct"/>
          </w:tcPr>
          <w:p w14:paraId="01609170" w14:textId="076F535B" w:rsidR="005B7602" w:rsidRPr="00812A8E" w:rsidRDefault="005B7602" w:rsidP="001E2046">
            <w:pPr>
              <w:pStyle w:val="Default0"/>
              <w:rPr>
                <w:rFonts w:ascii="Arial" w:eastAsiaTheme="minorHAnsi" w:hAnsi="Arial" w:cs="Arial"/>
                <w:color w:val="auto"/>
                <w:sz w:val="20"/>
                <w:szCs w:val="20"/>
              </w:rPr>
            </w:pPr>
            <w:r w:rsidRPr="00812A8E">
              <w:rPr>
                <w:rFonts w:ascii="Arial" w:eastAsiaTheme="minorHAnsi" w:hAnsi="Arial" w:cs="Arial"/>
                <w:color w:val="auto"/>
                <w:sz w:val="20"/>
                <w:szCs w:val="20"/>
              </w:rPr>
              <w:t>Definition does not include transfers?</w:t>
            </w:r>
          </w:p>
        </w:tc>
      </w:tr>
      <w:tr w:rsidR="005B7602" w:rsidRPr="00812A8E" w14:paraId="5861B63E" w14:textId="77777777" w:rsidTr="005B7602">
        <w:trPr>
          <w:trHeight w:val="116"/>
        </w:trPr>
        <w:tc>
          <w:tcPr>
            <w:tcW w:w="632" w:type="pct"/>
          </w:tcPr>
          <w:p w14:paraId="3EA1B92A" w14:textId="77777777" w:rsidR="005B7602" w:rsidRPr="00812A8E" w:rsidRDefault="005B7602" w:rsidP="001E2046">
            <w:pPr>
              <w:pStyle w:val="Heading2"/>
              <w:keepNext w:val="0"/>
              <w:rPr>
                <w:rFonts w:ascii="Arial" w:hAnsi="Arial" w:cs="Arial"/>
                <w:b w:val="0"/>
                <w:bCs w:val="0"/>
                <w:sz w:val="20"/>
                <w:szCs w:val="20"/>
              </w:rPr>
            </w:pPr>
          </w:p>
        </w:tc>
        <w:tc>
          <w:tcPr>
            <w:tcW w:w="4368" w:type="pct"/>
          </w:tcPr>
          <w:p w14:paraId="5FBC5DA7" w14:textId="77777777" w:rsidR="005B7602" w:rsidRPr="00812A8E" w:rsidRDefault="005B7602" w:rsidP="001E2046">
            <w:pPr>
              <w:pStyle w:val="Default0"/>
              <w:rPr>
                <w:rFonts w:ascii="Arial" w:eastAsiaTheme="minorHAnsi" w:hAnsi="Arial" w:cs="Arial"/>
                <w:color w:val="auto"/>
                <w:sz w:val="20"/>
                <w:szCs w:val="20"/>
              </w:rPr>
            </w:pPr>
          </w:p>
        </w:tc>
      </w:tr>
      <w:tr w:rsidR="005B7602" w:rsidRPr="00812A8E" w14:paraId="28AB0800" w14:textId="77777777" w:rsidTr="005B7602">
        <w:trPr>
          <w:trHeight w:val="116"/>
        </w:trPr>
        <w:tc>
          <w:tcPr>
            <w:tcW w:w="632" w:type="pct"/>
          </w:tcPr>
          <w:p w14:paraId="1B520490" w14:textId="6BE15233" w:rsidR="005B7602" w:rsidRPr="00812A8E" w:rsidRDefault="005B7602" w:rsidP="001E2046">
            <w:pPr>
              <w:pStyle w:val="Heading2"/>
              <w:keepNext w:val="0"/>
              <w:rPr>
                <w:rFonts w:ascii="Arial" w:hAnsi="Arial" w:cs="Arial"/>
                <w:b w:val="0"/>
                <w:bCs w:val="0"/>
                <w:sz w:val="20"/>
                <w:szCs w:val="20"/>
              </w:rPr>
            </w:pPr>
            <w:r w:rsidRPr="00812A8E">
              <w:rPr>
                <w:rFonts w:ascii="Arial" w:hAnsi="Arial" w:cs="Arial"/>
                <w:b w:val="0"/>
                <w:bCs w:val="0"/>
                <w:sz w:val="20"/>
                <w:szCs w:val="20"/>
              </w:rPr>
              <w:t>144</w:t>
            </w:r>
          </w:p>
        </w:tc>
        <w:tc>
          <w:tcPr>
            <w:tcW w:w="4368" w:type="pct"/>
          </w:tcPr>
          <w:p w14:paraId="0B67D034" w14:textId="699CBB69" w:rsidR="005B7602" w:rsidRPr="00812A8E" w:rsidRDefault="005B7602" w:rsidP="001E2046">
            <w:pPr>
              <w:pStyle w:val="Default0"/>
              <w:rPr>
                <w:rFonts w:ascii="Arial" w:eastAsiaTheme="minorHAnsi" w:hAnsi="Arial" w:cs="Arial"/>
                <w:color w:val="auto"/>
                <w:sz w:val="20"/>
                <w:szCs w:val="20"/>
              </w:rPr>
            </w:pPr>
            <w:r w:rsidRPr="00812A8E">
              <w:rPr>
                <w:rFonts w:ascii="Arial" w:eastAsiaTheme="minorHAnsi" w:hAnsi="Arial" w:cs="Arial"/>
                <w:color w:val="auto"/>
                <w:sz w:val="20"/>
                <w:szCs w:val="20"/>
              </w:rPr>
              <w:t>Should reference GASB Cod. 1300.104.</w:t>
            </w:r>
          </w:p>
        </w:tc>
      </w:tr>
      <w:tr w:rsidR="005B7602" w:rsidRPr="00812A8E" w14:paraId="56D654AD" w14:textId="77777777" w:rsidTr="005B7602">
        <w:trPr>
          <w:trHeight w:val="116"/>
        </w:trPr>
        <w:tc>
          <w:tcPr>
            <w:tcW w:w="632" w:type="pct"/>
          </w:tcPr>
          <w:p w14:paraId="5FCF4ACF" w14:textId="77777777" w:rsidR="005B7602" w:rsidRPr="00812A8E" w:rsidRDefault="005B7602" w:rsidP="001E2046">
            <w:pPr>
              <w:pStyle w:val="Heading2"/>
              <w:keepNext w:val="0"/>
              <w:rPr>
                <w:rFonts w:ascii="Arial" w:hAnsi="Arial" w:cs="Arial"/>
                <w:b w:val="0"/>
                <w:bCs w:val="0"/>
                <w:sz w:val="20"/>
                <w:szCs w:val="20"/>
              </w:rPr>
            </w:pPr>
          </w:p>
        </w:tc>
        <w:tc>
          <w:tcPr>
            <w:tcW w:w="4368" w:type="pct"/>
          </w:tcPr>
          <w:p w14:paraId="762DD1CB" w14:textId="77777777" w:rsidR="005B7602" w:rsidRPr="00812A8E" w:rsidRDefault="005B7602" w:rsidP="001E2046">
            <w:pPr>
              <w:pStyle w:val="Default0"/>
              <w:rPr>
                <w:rFonts w:ascii="Arial" w:eastAsiaTheme="minorHAnsi" w:hAnsi="Arial" w:cs="Arial"/>
                <w:color w:val="auto"/>
                <w:sz w:val="20"/>
                <w:szCs w:val="20"/>
              </w:rPr>
            </w:pPr>
          </w:p>
        </w:tc>
      </w:tr>
      <w:tr w:rsidR="005B7602" w:rsidRPr="00812A8E" w14:paraId="29E8A737" w14:textId="77777777" w:rsidTr="005B7602">
        <w:trPr>
          <w:trHeight w:val="242"/>
        </w:trPr>
        <w:tc>
          <w:tcPr>
            <w:tcW w:w="632" w:type="pct"/>
          </w:tcPr>
          <w:p w14:paraId="0FA03F0C" w14:textId="3B2C007B" w:rsidR="005B7602" w:rsidRPr="00812A8E" w:rsidRDefault="005B7602" w:rsidP="001E2046">
            <w:pPr>
              <w:pStyle w:val="Heading2"/>
              <w:keepNext w:val="0"/>
              <w:rPr>
                <w:rFonts w:ascii="Arial" w:hAnsi="Arial" w:cs="Arial"/>
                <w:b w:val="0"/>
                <w:bCs w:val="0"/>
                <w:sz w:val="20"/>
                <w:szCs w:val="20"/>
              </w:rPr>
            </w:pPr>
            <w:r w:rsidRPr="00812A8E">
              <w:rPr>
                <w:rFonts w:ascii="Arial" w:hAnsi="Arial" w:cs="Arial"/>
                <w:b w:val="0"/>
                <w:bCs w:val="0"/>
                <w:sz w:val="20"/>
                <w:szCs w:val="20"/>
              </w:rPr>
              <w:t>145</w:t>
            </w:r>
          </w:p>
        </w:tc>
        <w:tc>
          <w:tcPr>
            <w:tcW w:w="4368" w:type="pct"/>
          </w:tcPr>
          <w:p w14:paraId="2B34F6B1" w14:textId="2D0FC6EB" w:rsidR="005B7602" w:rsidRPr="00812A8E" w:rsidRDefault="005B7602" w:rsidP="001E2046">
            <w:pPr>
              <w:spacing w:after="120"/>
              <w:jc w:val="both"/>
              <w:rPr>
                <w:rFonts w:ascii="Arial" w:hAnsi="Arial" w:cs="Arial"/>
                <w:color w:val="000000" w:themeColor="text1"/>
                <w:sz w:val="20"/>
                <w:szCs w:val="20"/>
              </w:rPr>
            </w:pPr>
            <w:r w:rsidRPr="00812A8E">
              <w:rPr>
                <w:rFonts w:ascii="Arial" w:hAnsi="Arial" w:cs="Arial"/>
                <w:color w:val="000000" w:themeColor="text1"/>
                <w:sz w:val="20"/>
                <w:szCs w:val="20"/>
              </w:rPr>
              <w:t>Other Liabilities – codification reference is for current liabilities.</w:t>
            </w:r>
          </w:p>
        </w:tc>
      </w:tr>
      <w:tr w:rsidR="005B7602" w:rsidRPr="00812A8E" w14:paraId="0C0D2B5E" w14:textId="77777777" w:rsidTr="005B7602">
        <w:trPr>
          <w:trHeight w:val="116"/>
        </w:trPr>
        <w:tc>
          <w:tcPr>
            <w:tcW w:w="632" w:type="pct"/>
          </w:tcPr>
          <w:p w14:paraId="2441A509" w14:textId="77464BED" w:rsidR="005B7602" w:rsidRPr="00812A8E" w:rsidRDefault="005B7602" w:rsidP="001E2046">
            <w:pPr>
              <w:pStyle w:val="Heading2"/>
              <w:keepNext w:val="0"/>
              <w:rPr>
                <w:rFonts w:ascii="Arial" w:hAnsi="Arial" w:cs="Arial"/>
                <w:b w:val="0"/>
                <w:bCs w:val="0"/>
                <w:sz w:val="20"/>
                <w:szCs w:val="20"/>
              </w:rPr>
            </w:pPr>
          </w:p>
        </w:tc>
        <w:tc>
          <w:tcPr>
            <w:tcW w:w="4368" w:type="pct"/>
          </w:tcPr>
          <w:p w14:paraId="11051BEE" w14:textId="5386A430" w:rsidR="005B7602" w:rsidRPr="00812A8E" w:rsidRDefault="005B7602" w:rsidP="001E2046">
            <w:pPr>
              <w:pStyle w:val="Default0"/>
              <w:rPr>
                <w:rFonts w:ascii="Arial" w:eastAsiaTheme="minorHAnsi" w:hAnsi="Arial" w:cs="Arial"/>
                <w:color w:val="auto"/>
                <w:sz w:val="20"/>
                <w:szCs w:val="20"/>
              </w:rPr>
            </w:pPr>
            <w:r w:rsidRPr="00812A8E">
              <w:rPr>
                <w:rFonts w:ascii="Arial" w:eastAsiaTheme="minorHAnsi" w:hAnsi="Arial" w:cs="Arial"/>
                <w:color w:val="auto"/>
                <w:sz w:val="20"/>
                <w:szCs w:val="20"/>
              </w:rPr>
              <w:t>This definition is the same as current liabilities, it should be modified to encompass more.</w:t>
            </w:r>
          </w:p>
        </w:tc>
      </w:tr>
      <w:tr w:rsidR="005B7602" w:rsidRPr="00812A8E" w14:paraId="4616972D" w14:textId="77777777" w:rsidTr="005B7602">
        <w:trPr>
          <w:trHeight w:val="116"/>
        </w:trPr>
        <w:tc>
          <w:tcPr>
            <w:tcW w:w="632" w:type="pct"/>
          </w:tcPr>
          <w:p w14:paraId="5D63A452" w14:textId="5EDBBD27" w:rsidR="005B7602" w:rsidRPr="00812A8E" w:rsidRDefault="005B7602" w:rsidP="001E2046">
            <w:pPr>
              <w:pStyle w:val="Heading2"/>
              <w:keepNext w:val="0"/>
              <w:rPr>
                <w:rFonts w:ascii="Arial" w:hAnsi="Arial" w:cs="Arial"/>
                <w:b w:val="0"/>
                <w:bCs w:val="0"/>
                <w:sz w:val="20"/>
                <w:szCs w:val="20"/>
              </w:rPr>
            </w:pPr>
          </w:p>
        </w:tc>
        <w:tc>
          <w:tcPr>
            <w:tcW w:w="4368" w:type="pct"/>
          </w:tcPr>
          <w:p w14:paraId="72B93441" w14:textId="73DCBAC1" w:rsidR="005B7602" w:rsidRPr="00812A8E" w:rsidRDefault="005B7602" w:rsidP="001E2046">
            <w:pPr>
              <w:pStyle w:val="Default0"/>
              <w:rPr>
                <w:rFonts w:ascii="Arial" w:eastAsiaTheme="minorHAnsi" w:hAnsi="Arial" w:cs="Arial"/>
                <w:color w:val="auto"/>
                <w:sz w:val="20"/>
                <w:szCs w:val="20"/>
              </w:rPr>
            </w:pPr>
            <w:r w:rsidRPr="00812A8E">
              <w:rPr>
                <w:rFonts w:ascii="Arial" w:eastAsiaTheme="minorHAnsi" w:hAnsi="Arial" w:cs="Arial"/>
                <w:color w:val="auto"/>
                <w:sz w:val="20"/>
                <w:szCs w:val="20"/>
              </w:rPr>
              <w:t>Is this short-term or long-term or both?</w:t>
            </w:r>
          </w:p>
        </w:tc>
      </w:tr>
      <w:tr w:rsidR="005B7602" w:rsidRPr="00812A8E" w14:paraId="5A1C3269" w14:textId="77777777" w:rsidTr="005B7602">
        <w:trPr>
          <w:trHeight w:val="116"/>
        </w:trPr>
        <w:tc>
          <w:tcPr>
            <w:tcW w:w="632" w:type="pct"/>
          </w:tcPr>
          <w:p w14:paraId="6866F680" w14:textId="2EF47D53" w:rsidR="005B7602" w:rsidRPr="00812A8E" w:rsidRDefault="005B7602" w:rsidP="001E2046">
            <w:pPr>
              <w:pStyle w:val="Heading2"/>
              <w:keepNext w:val="0"/>
              <w:rPr>
                <w:rFonts w:ascii="Arial" w:hAnsi="Arial" w:cs="Arial"/>
                <w:b w:val="0"/>
                <w:bCs w:val="0"/>
                <w:sz w:val="20"/>
                <w:szCs w:val="20"/>
              </w:rPr>
            </w:pPr>
          </w:p>
        </w:tc>
        <w:tc>
          <w:tcPr>
            <w:tcW w:w="4368" w:type="pct"/>
          </w:tcPr>
          <w:p w14:paraId="403C086E" w14:textId="14EE6EB0" w:rsidR="005B7602" w:rsidRPr="00812A8E" w:rsidRDefault="005B7602" w:rsidP="001E2046">
            <w:pPr>
              <w:pStyle w:val="Default0"/>
              <w:rPr>
                <w:rFonts w:ascii="Arial" w:eastAsiaTheme="minorHAnsi" w:hAnsi="Arial" w:cs="Arial"/>
                <w:color w:val="auto"/>
                <w:sz w:val="20"/>
                <w:szCs w:val="20"/>
              </w:rPr>
            </w:pPr>
            <w:r w:rsidRPr="00812A8E">
              <w:rPr>
                <w:rFonts w:ascii="Arial" w:hAnsi="Arial" w:cs="Arial"/>
                <w:color w:val="000000" w:themeColor="text1"/>
                <w:sz w:val="20"/>
                <w:szCs w:val="20"/>
              </w:rPr>
              <w:t>We believe the current definition is unclear since it includes incomplete language from the applicable GASB Codification paragraph to describe other liabilities.</w:t>
            </w:r>
          </w:p>
        </w:tc>
      </w:tr>
      <w:tr w:rsidR="005B7602" w:rsidRPr="00812A8E" w14:paraId="54B8E03A" w14:textId="77777777" w:rsidTr="005B7602">
        <w:trPr>
          <w:trHeight w:val="116"/>
        </w:trPr>
        <w:tc>
          <w:tcPr>
            <w:tcW w:w="632" w:type="pct"/>
          </w:tcPr>
          <w:p w14:paraId="6A0F3D99" w14:textId="77777777" w:rsidR="005B7602" w:rsidRPr="00812A8E" w:rsidRDefault="005B7602" w:rsidP="001E2046">
            <w:pPr>
              <w:pStyle w:val="Heading2"/>
              <w:keepNext w:val="0"/>
              <w:rPr>
                <w:rFonts w:ascii="Arial" w:hAnsi="Arial" w:cs="Arial"/>
                <w:b w:val="0"/>
                <w:bCs w:val="0"/>
                <w:sz w:val="20"/>
                <w:szCs w:val="20"/>
              </w:rPr>
            </w:pPr>
          </w:p>
        </w:tc>
        <w:tc>
          <w:tcPr>
            <w:tcW w:w="4368" w:type="pct"/>
          </w:tcPr>
          <w:p w14:paraId="5277B072" w14:textId="77777777" w:rsidR="005B7602" w:rsidRPr="00812A8E" w:rsidRDefault="005B7602" w:rsidP="001E2046">
            <w:pPr>
              <w:pStyle w:val="Default0"/>
              <w:rPr>
                <w:rFonts w:ascii="Arial" w:eastAsiaTheme="minorHAnsi" w:hAnsi="Arial" w:cs="Arial"/>
                <w:color w:val="auto"/>
                <w:sz w:val="20"/>
                <w:szCs w:val="20"/>
              </w:rPr>
            </w:pPr>
          </w:p>
        </w:tc>
      </w:tr>
      <w:tr w:rsidR="005B7602" w:rsidRPr="00812A8E" w14:paraId="3FED532A" w14:textId="77777777" w:rsidTr="005B7602">
        <w:trPr>
          <w:trHeight w:val="116"/>
        </w:trPr>
        <w:tc>
          <w:tcPr>
            <w:tcW w:w="632" w:type="pct"/>
          </w:tcPr>
          <w:p w14:paraId="49E82D71" w14:textId="25A77282" w:rsidR="005B7602" w:rsidRPr="00812A8E" w:rsidRDefault="005B7602" w:rsidP="001E2046">
            <w:pPr>
              <w:pStyle w:val="Heading2"/>
              <w:keepNext w:val="0"/>
              <w:rPr>
                <w:rFonts w:ascii="Arial" w:hAnsi="Arial" w:cs="Arial"/>
                <w:b w:val="0"/>
                <w:bCs w:val="0"/>
                <w:sz w:val="20"/>
                <w:szCs w:val="20"/>
              </w:rPr>
            </w:pPr>
            <w:r w:rsidRPr="00812A8E">
              <w:rPr>
                <w:rFonts w:ascii="Arial" w:hAnsi="Arial" w:cs="Arial"/>
                <w:b w:val="0"/>
                <w:bCs w:val="0"/>
                <w:sz w:val="20"/>
                <w:szCs w:val="20"/>
              </w:rPr>
              <w:t>147</w:t>
            </w:r>
          </w:p>
        </w:tc>
        <w:tc>
          <w:tcPr>
            <w:tcW w:w="4368" w:type="pct"/>
          </w:tcPr>
          <w:p w14:paraId="639400BE" w14:textId="05A742C5" w:rsidR="005B7602" w:rsidRPr="00812A8E" w:rsidRDefault="005B7602" w:rsidP="001E2046">
            <w:pPr>
              <w:pStyle w:val="Default0"/>
              <w:rPr>
                <w:rFonts w:ascii="Arial" w:eastAsiaTheme="minorHAnsi" w:hAnsi="Arial" w:cs="Arial"/>
                <w:color w:val="auto"/>
                <w:sz w:val="20"/>
                <w:szCs w:val="20"/>
              </w:rPr>
            </w:pPr>
            <w:r w:rsidRPr="00812A8E">
              <w:rPr>
                <w:rFonts w:ascii="Arial" w:eastAsiaTheme="minorHAnsi" w:hAnsi="Arial" w:cs="Arial"/>
                <w:color w:val="auto"/>
                <w:sz w:val="20"/>
                <w:szCs w:val="20"/>
              </w:rPr>
              <w:t>See comment on concept 86.</w:t>
            </w:r>
          </w:p>
        </w:tc>
      </w:tr>
      <w:tr w:rsidR="005B7602" w:rsidRPr="00812A8E" w14:paraId="1494D810" w14:textId="77777777" w:rsidTr="005B7602">
        <w:trPr>
          <w:trHeight w:val="116"/>
        </w:trPr>
        <w:tc>
          <w:tcPr>
            <w:tcW w:w="632" w:type="pct"/>
          </w:tcPr>
          <w:p w14:paraId="16B44407" w14:textId="77777777" w:rsidR="005B7602" w:rsidRPr="00812A8E" w:rsidRDefault="005B7602" w:rsidP="001E2046">
            <w:pPr>
              <w:pStyle w:val="Heading2"/>
              <w:keepNext w:val="0"/>
              <w:rPr>
                <w:rFonts w:ascii="Arial" w:hAnsi="Arial" w:cs="Arial"/>
                <w:b w:val="0"/>
                <w:bCs w:val="0"/>
                <w:sz w:val="20"/>
                <w:szCs w:val="20"/>
              </w:rPr>
            </w:pPr>
          </w:p>
        </w:tc>
        <w:tc>
          <w:tcPr>
            <w:tcW w:w="4368" w:type="pct"/>
          </w:tcPr>
          <w:p w14:paraId="22579250" w14:textId="77777777" w:rsidR="005B7602" w:rsidRPr="00812A8E" w:rsidRDefault="005B7602" w:rsidP="001E2046">
            <w:pPr>
              <w:pStyle w:val="Default0"/>
              <w:rPr>
                <w:rFonts w:ascii="Arial" w:eastAsiaTheme="minorHAnsi" w:hAnsi="Arial" w:cs="Arial"/>
                <w:color w:val="auto"/>
                <w:sz w:val="20"/>
                <w:szCs w:val="20"/>
              </w:rPr>
            </w:pPr>
          </w:p>
        </w:tc>
      </w:tr>
      <w:tr w:rsidR="005B7602" w:rsidRPr="00812A8E" w14:paraId="54D4346E" w14:textId="77777777" w:rsidTr="005B7602">
        <w:trPr>
          <w:trHeight w:val="116"/>
        </w:trPr>
        <w:tc>
          <w:tcPr>
            <w:tcW w:w="632" w:type="pct"/>
          </w:tcPr>
          <w:p w14:paraId="7E9996BE" w14:textId="37ABC7DC" w:rsidR="005B7602" w:rsidRPr="00812A8E" w:rsidRDefault="005B7602" w:rsidP="001E2046">
            <w:pPr>
              <w:pStyle w:val="Heading2"/>
              <w:keepNext w:val="0"/>
              <w:rPr>
                <w:rFonts w:ascii="Arial" w:hAnsi="Arial" w:cs="Arial"/>
                <w:b w:val="0"/>
                <w:bCs w:val="0"/>
                <w:sz w:val="20"/>
                <w:szCs w:val="20"/>
              </w:rPr>
            </w:pPr>
            <w:r w:rsidRPr="00812A8E">
              <w:rPr>
                <w:rFonts w:ascii="Arial" w:hAnsi="Arial" w:cs="Arial"/>
                <w:b w:val="0"/>
                <w:bCs w:val="0"/>
                <w:sz w:val="20"/>
                <w:szCs w:val="20"/>
              </w:rPr>
              <w:t>150</w:t>
            </w:r>
          </w:p>
        </w:tc>
        <w:tc>
          <w:tcPr>
            <w:tcW w:w="4368" w:type="pct"/>
          </w:tcPr>
          <w:p w14:paraId="558B1C94" w14:textId="63EFC278" w:rsidR="005B7602" w:rsidRPr="00812A8E" w:rsidRDefault="005B7602" w:rsidP="001E2046">
            <w:pPr>
              <w:pStyle w:val="Default0"/>
              <w:rPr>
                <w:rFonts w:ascii="Arial" w:eastAsiaTheme="minorHAnsi" w:hAnsi="Arial" w:cs="Arial"/>
                <w:color w:val="auto"/>
                <w:sz w:val="20"/>
                <w:szCs w:val="20"/>
              </w:rPr>
            </w:pPr>
            <w:r w:rsidRPr="00812A8E">
              <w:rPr>
                <w:rFonts w:ascii="Arial" w:eastAsiaTheme="minorHAnsi" w:hAnsi="Arial" w:cs="Arial"/>
                <w:color w:val="auto"/>
                <w:sz w:val="20"/>
                <w:szCs w:val="20"/>
              </w:rPr>
              <w:t>We would suggest using a definition of, “Payments for benefits not yet received.”</w:t>
            </w:r>
          </w:p>
        </w:tc>
      </w:tr>
      <w:tr w:rsidR="005B7602" w:rsidRPr="00812A8E" w14:paraId="3AB7A7BF" w14:textId="77777777" w:rsidTr="005B7602">
        <w:trPr>
          <w:trHeight w:val="116"/>
        </w:trPr>
        <w:tc>
          <w:tcPr>
            <w:tcW w:w="632" w:type="pct"/>
          </w:tcPr>
          <w:p w14:paraId="5B6ECE50" w14:textId="77777777" w:rsidR="005B7602" w:rsidRPr="00812A8E" w:rsidRDefault="005B7602" w:rsidP="001E2046">
            <w:pPr>
              <w:pStyle w:val="Heading2"/>
              <w:keepNext w:val="0"/>
              <w:rPr>
                <w:rFonts w:ascii="Arial" w:hAnsi="Arial" w:cs="Arial"/>
                <w:b w:val="0"/>
                <w:bCs w:val="0"/>
                <w:sz w:val="20"/>
                <w:szCs w:val="20"/>
              </w:rPr>
            </w:pPr>
          </w:p>
        </w:tc>
        <w:tc>
          <w:tcPr>
            <w:tcW w:w="4368" w:type="pct"/>
          </w:tcPr>
          <w:p w14:paraId="6EE0A21A" w14:textId="77777777" w:rsidR="005B7602" w:rsidRPr="00812A8E" w:rsidRDefault="005B7602" w:rsidP="001E2046">
            <w:pPr>
              <w:pStyle w:val="Default0"/>
              <w:rPr>
                <w:rFonts w:ascii="Arial" w:eastAsiaTheme="minorHAnsi" w:hAnsi="Arial" w:cs="Arial"/>
                <w:color w:val="auto"/>
                <w:sz w:val="20"/>
                <w:szCs w:val="20"/>
              </w:rPr>
            </w:pPr>
          </w:p>
        </w:tc>
      </w:tr>
      <w:tr w:rsidR="005B7602" w:rsidRPr="00812A8E" w14:paraId="7BB46220" w14:textId="77777777" w:rsidTr="005B7602">
        <w:trPr>
          <w:trHeight w:val="116"/>
        </w:trPr>
        <w:tc>
          <w:tcPr>
            <w:tcW w:w="632" w:type="pct"/>
          </w:tcPr>
          <w:p w14:paraId="371BC619" w14:textId="4B9750DD" w:rsidR="005B7602" w:rsidRPr="00812A8E" w:rsidRDefault="005B7602" w:rsidP="001E2046">
            <w:pPr>
              <w:pStyle w:val="Heading2"/>
              <w:keepNext w:val="0"/>
              <w:rPr>
                <w:rFonts w:ascii="Arial" w:hAnsi="Arial" w:cs="Arial"/>
                <w:b w:val="0"/>
                <w:bCs w:val="0"/>
                <w:sz w:val="20"/>
                <w:szCs w:val="20"/>
              </w:rPr>
            </w:pPr>
            <w:r w:rsidRPr="00812A8E">
              <w:rPr>
                <w:rFonts w:ascii="Arial" w:hAnsi="Arial" w:cs="Arial"/>
                <w:b w:val="0"/>
                <w:bCs w:val="0"/>
                <w:sz w:val="20"/>
                <w:szCs w:val="20"/>
              </w:rPr>
              <w:t>151</w:t>
            </w:r>
          </w:p>
        </w:tc>
        <w:tc>
          <w:tcPr>
            <w:tcW w:w="4368" w:type="pct"/>
          </w:tcPr>
          <w:p w14:paraId="63B040D7" w14:textId="09B830CD" w:rsidR="005B7602" w:rsidRPr="00812A8E" w:rsidRDefault="005B7602" w:rsidP="001E2046">
            <w:pPr>
              <w:pStyle w:val="Default0"/>
              <w:rPr>
                <w:rFonts w:ascii="Arial" w:eastAsiaTheme="minorHAnsi" w:hAnsi="Arial" w:cs="Arial"/>
                <w:color w:val="auto"/>
                <w:sz w:val="20"/>
                <w:szCs w:val="20"/>
              </w:rPr>
            </w:pPr>
            <w:r w:rsidRPr="00812A8E">
              <w:rPr>
                <w:rFonts w:ascii="Arial" w:eastAsiaTheme="minorHAnsi" w:hAnsi="Arial" w:cs="Arial"/>
                <w:color w:val="auto"/>
                <w:sz w:val="20"/>
                <w:szCs w:val="20"/>
              </w:rPr>
              <w:t>We would suggest eliminating the first two sentences and the last paragraph.</w:t>
            </w:r>
          </w:p>
        </w:tc>
      </w:tr>
      <w:tr w:rsidR="005B7602" w:rsidRPr="00812A8E" w14:paraId="07E89D69" w14:textId="77777777" w:rsidTr="005B7602">
        <w:trPr>
          <w:trHeight w:val="116"/>
        </w:trPr>
        <w:tc>
          <w:tcPr>
            <w:tcW w:w="632" w:type="pct"/>
          </w:tcPr>
          <w:p w14:paraId="021AA757" w14:textId="77777777" w:rsidR="005B7602" w:rsidRPr="00812A8E" w:rsidRDefault="005B7602" w:rsidP="001E2046">
            <w:pPr>
              <w:pStyle w:val="Heading2"/>
              <w:keepNext w:val="0"/>
              <w:rPr>
                <w:rFonts w:ascii="Arial" w:hAnsi="Arial" w:cs="Arial"/>
                <w:b w:val="0"/>
                <w:bCs w:val="0"/>
                <w:sz w:val="20"/>
                <w:szCs w:val="20"/>
              </w:rPr>
            </w:pPr>
          </w:p>
        </w:tc>
        <w:tc>
          <w:tcPr>
            <w:tcW w:w="4368" w:type="pct"/>
          </w:tcPr>
          <w:p w14:paraId="30D574A5" w14:textId="77777777" w:rsidR="005B7602" w:rsidRPr="00812A8E" w:rsidRDefault="005B7602" w:rsidP="001E2046">
            <w:pPr>
              <w:pStyle w:val="Default0"/>
              <w:rPr>
                <w:rFonts w:ascii="Arial" w:eastAsiaTheme="minorHAnsi" w:hAnsi="Arial" w:cs="Arial"/>
                <w:color w:val="auto"/>
                <w:sz w:val="20"/>
                <w:szCs w:val="20"/>
              </w:rPr>
            </w:pPr>
          </w:p>
        </w:tc>
      </w:tr>
      <w:tr w:rsidR="005B7602" w:rsidRPr="00812A8E" w14:paraId="13C73084" w14:textId="77777777" w:rsidTr="005B7602">
        <w:trPr>
          <w:trHeight w:val="116"/>
        </w:trPr>
        <w:tc>
          <w:tcPr>
            <w:tcW w:w="632" w:type="pct"/>
          </w:tcPr>
          <w:p w14:paraId="32AB1E3C" w14:textId="3F9EA58E" w:rsidR="005B7602" w:rsidRPr="00812A8E" w:rsidRDefault="005B7602" w:rsidP="001E2046">
            <w:pPr>
              <w:pStyle w:val="Heading2"/>
              <w:keepNext w:val="0"/>
              <w:rPr>
                <w:rFonts w:ascii="Arial" w:hAnsi="Arial" w:cs="Arial"/>
                <w:b w:val="0"/>
                <w:bCs w:val="0"/>
                <w:sz w:val="20"/>
                <w:szCs w:val="20"/>
              </w:rPr>
            </w:pPr>
            <w:r w:rsidRPr="00812A8E">
              <w:rPr>
                <w:rFonts w:ascii="Arial" w:hAnsi="Arial" w:cs="Arial"/>
                <w:b w:val="0"/>
                <w:bCs w:val="0"/>
                <w:sz w:val="20"/>
                <w:szCs w:val="20"/>
              </w:rPr>
              <w:t>154</w:t>
            </w:r>
          </w:p>
        </w:tc>
        <w:tc>
          <w:tcPr>
            <w:tcW w:w="4368" w:type="pct"/>
          </w:tcPr>
          <w:p w14:paraId="2B37B929" w14:textId="78B30273" w:rsidR="005B7602" w:rsidRPr="00812A8E" w:rsidRDefault="005B7602" w:rsidP="001E2046">
            <w:pPr>
              <w:pStyle w:val="Default0"/>
              <w:rPr>
                <w:rFonts w:ascii="Arial" w:eastAsiaTheme="minorHAnsi" w:hAnsi="Arial" w:cs="Arial"/>
                <w:color w:val="auto"/>
                <w:sz w:val="20"/>
                <w:szCs w:val="20"/>
              </w:rPr>
            </w:pPr>
            <w:r w:rsidRPr="00812A8E">
              <w:rPr>
                <w:rFonts w:ascii="Arial" w:eastAsiaTheme="minorHAnsi" w:hAnsi="Arial" w:cs="Arial"/>
                <w:color w:val="auto"/>
                <w:sz w:val="20"/>
                <w:szCs w:val="20"/>
              </w:rPr>
              <w:t>What are the numbers 16 and 17?</w:t>
            </w:r>
          </w:p>
        </w:tc>
      </w:tr>
      <w:tr w:rsidR="005B7602" w:rsidRPr="00812A8E" w14:paraId="7BC12089" w14:textId="77777777" w:rsidTr="005B7602">
        <w:trPr>
          <w:trHeight w:val="116"/>
        </w:trPr>
        <w:tc>
          <w:tcPr>
            <w:tcW w:w="632" w:type="pct"/>
          </w:tcPr>
          <w:p w14:paraId="40B96138" w14:textId="77777777" w:rsidR="005B7602" w:rsidRPr="00812A8E" w:rsidRDefault="005B7602" w:rsidP="001E2046">
            <w:pPr>
              <w:pStyle w:val="Heading2"/>
              <w:keepNext w:val="0"/>
              <w:rPr>
                <w:rFonts w:ascii="Arial" w:hAnsi="Arial" w:cs="Arial"/>
                <w:b w:val="0"/>
                <w:bCs w:val="0"/>
                <w:sz w:val="20"/>
                <w:szCs w:val="20"/>
              </w:rPr>
            </w:pPr>
          </w:p>
        </w:tc>
        <w:tc>
          <w:tcPr>
            <w:tcW w:w="4368" w:type="pct"/>
          </w:tcPr>
          <w:p w14:paraId="24A57D35" w14:textId="77777777" w:rsidR="005B7602" w:rsidRPr="00812A8E" w:rsidRDefault="005B7602" w:rsidP="001E2046">
            <w:pPr>
              <w:pStyle w:val="Default0"/>
              <w:rPr>
                <w:rFonts w:ascii="Arial" w:eastAsiaTheme="minorHAnsi" w:hAnsi="Arial" w:cs="Arial"/>
                <w:color w:val="auto"/>
                <w:sz w:val="20"/>
                <w:szCs w:val="20"/>
              </w:rPr>
            </w:pPr>
          </w:p>
        </w:tc>
      </w:tr>
      <w:tr w:rsidR="005B7602" w:rsidRPr="00812A8E" w14:paraId="4547D15A" w14:textId="77777777" w:rsidTr="005B7602">
        <w:trPr>
          <w:trHeight w:val="116"/>
        </w:trPr>
        <w:tc>
          <w:tcPr>
            <w:tcW w:w="632" w:type="pct"/>
          </w:tcPr>
          <w:p w14:paraId="605054DF" w14:textId="3A979807" w:rsidR="005B7602" w:rsidRPr="00812A8E" w:rsidRDefault="005B7602" w:rsidP="001E2046">
            <w:pPr>
              <w:pStyle w:val="Heading2"/>
              <w:keepNext w:val="0"/>
              <w:rPr>
                <w:rFonts w:ascii="Arial" w:hAnsi="Arial" w:cs="Arial"/>
                <w:b w:val="0"/>
                <w:bCs w:val="0"/>
                <w:sz w:val="20"/>
                <w:szCs w:val="20"/>
              </w:rPr>
            </w:pPr>
            <w:r w:rsidRPr="00812A8E">
              <w:rPr>
                <w:rFonts w:ascii="Arial" w:hAnsi="Arial" w:cs="Arial"/>
                <w:b w:val="0"/>
                <w:bCs w:val="0"/>
                <w:sz w:val="20"/>
                <w:szCs w:val="20"/>
              </w:rPr>
              <w:t>155</w:t>
            </w:r>
          </w:p>
        </w:tc>
        <w:tc>
          <w:tcPr>
            <w:tcW w:w="4368" w:type="pct"/>
          </w:tcPr>
          <w:p w14:paraId="76F58DA4" w14:textId="373C1895" w:rsidR="005B7602" w:rsidRPr="00812A8E" w:rsidRDefault="005B7602" w:rsidP="001E2046">
            <w:pPr>
              <w:rPr>
                <w:rFonts w:ascii="Arial" w:hAnsi="Arial" w:cs="Arial"/>
                <w:color w:val="000000"/>
                <w:sz w:val="20"/>
                <w:szCs w:val="20"/>
              </w:rPr>
            </w:pPr>
            <w:r w:rsidRPr="00812A8E">
              <w:rPr>
                <w:rFonts w:ascii="Arial" w:hAnsi="Arial" w:cs="Arial"/>
                <w:color w:val="000000"/>
                <w:sz w:val="20"/>
                <w:szCs w:val="20"/>
              </w:rPr>
              <w:t>Why is this description the same as line 154?  What are the numbers 16 and 17?</w:t>
            </w:r>
          </w:p>
        </w:tc>
      </w:tr>
      <w:tr w:rsidR="005B7602" w:rsidRPr="00812A8E" w14:paraId="3EC39777" w14:textId="77777777" w:rsidTr="005B7602">
        <w:trPr>
          <w:trHeight w:val="116"/>
        </w:trPr>
        <w:tc>
          <w:tcPr>
            <w:tcW w:w="632" w:type="pct"/>
          </w:tcPr>
          <w:p w14:paraId="2CE8A477" w14:textId="77777777" w:rsidR="005B7602" w:rsidRPr="00812A8E" w:rsidRDefault="005B7602" w:rsidP="001E2046">
            <w:pPr>
              <w:pStyle w:val="Heading2"/>
              <w:keepNext w:val="0"/>
              <w:rPr>
                <w:rFonts w:ascii="Arial" w:hAnsi="Arial" w:cs="Arial"/>
                <w:b w:val="0"/>
                <w:bCs w:val="0"/>
                <w:sz w:val="20"/>
                <w:szCs w:val="20"/>
              </w:rPr>
            </w:pPr>
          </w:p>
        </w:tc>
        <w:tc>
          <w:tcPr>
            <w:tcW w:w="4368" w:type="pct"/>
          </w:tcPr>
          <w:p w14:paraId="61596D51" w14:textId="77777777" w:rsidR="005B7602" w:rsidRPr="00812A8E" w:rsidRDefault="005B7602" w:rsidP="001E2046">
            <w:pPr>
              <w:pStyle w:val="Default0"/>
              <w:rPr>
                <w:rFonts w:ascii="Arial" w:eastAsiaTheme="minorHAnsi" w:hAnsi="Arial" w:cs="Arial"/>
                <w:color w:val="auto"/>
                <w:sz w:val="20"/>
                <w:szCs w:val="20"/>
              </w:rPr>
            </w:pPr>
          </w:p>
        </w:tc>
      </w:tr>
      <w:tr w:rsidR="005B7602" w:rsidRPr="00812A8E" w14:paraId="517DDE04" w14:textId="77777777" w:rsidTr="005B7602">
        <w:trPr>
          <w:trHeight w:val="116"/>
        </w:trPr>
        <w:tc>
          <w:tcPr>
            <w:tcW w:w="632" w:type="pct"/>
          </w:tcPr>
          <w:p w14:paraId="1D166CFE" w14:textId="2ADFBBED" w:rsidR="005B7602" w:rsidRPr="00812A8E" w:rsidRDefault="005B7602" w:rsidP="001E2046">
            <w:pPr>
              <w:pStyle w:val="Heading2"/>
              <w:keepNext w:val="0"/>
              <w:rPr>
                <w:rFonts w:ascii="Arial" w:hAnsi="Arial" w:cs="Arial"/>
                <w:b w:val="0"/>
                <w:bCs w:val="0"/>
                <w:sz w:val="20"/>
                <w:szCs w:val="20"/>
              </w:rPr>
            </w:pPr>
            <w:r w:rsidRPr="00812A8E">
              <w:rPr>
                <w:rFonts w:ascii="Arial" w:hAnsi="Arial" w:cs="Arial"/>
                <w:b w:val="0"/>
                <w:bCs w:val="0"/>
                <w:sz w:val="20"/>
                <w:szCs w:val="20"/>
              </w:rPr>
              <w:t xml:space="preserve">156 </w:t>
            </w:r>
          </w:p>
        </w:tc>
        <w:tc>
          <w:tcPr>
            <w:tcW w:w="4368" w:type="pct"/>
          </w:tcPr>
          <w:p w14:paraId="027805A9" w14:textId="554829A7" w:rsidR="005B7602" w:rsidRPr="00812A8E" w:rsidRDefault="005B7602" w:rsidP="001E2046">
            <w:pPr>
              <w:pStyle w:val="Default0"/>
              <w:rPr>
                <w:rFonts w:ascii="Arial" w:eastAsiaTheme="minorHAnsi" w:hAnsi="Arial" w:cs="Arial"/>
                <w:color w:val="auto"/>
                <w:sz w:val="20"/>
                <w:szCs w:val="20"/>
              </w:rPr>
            </w:pPr>
            <w:r w:rsidRPr="00812A8E">
              <w:rPr>
                <w:rFonts w:ascii="Arial" w:eastAsiaTheme="minorHAnsi" w:hAnsi="Arial" w:cs="Arial"/>
                <w:color w:val="auto"/>
                <w:sz w:val="20"/>
                <w:szCs w:val="20"/>
              </w:rPr>
              <w:t>Property Held for Resale – the description seems inconsistent with GASB Statement 72, paragraph 68, and the professional reference is to the FASB codification rather than the GASB codification. We suggest XBRL US review the description to ensure it is consistent with GASB pronouncements and provide appropriate professional references.</w:t>
            </w:r>
          </w:p>
        </w:tc>
      </w:tr>
      <w:tr w:rsidR="005B7602" w:rsidRPr="00812A8E" w14:paraId="34AA96B9" w14:textId="77777777" w:rsidTr="005B7602">
        <w:trPr>
          <w:trHeight w:val="116"/>
        </w:trPr>
        <w:tc>
          <w:tcPr>
            <w:tcW w:w="632" w:type="pct"/>
          </w:tcPr>
          <w:p w14:paraId="6C7460A2" w14:textId="7478B22A" w:rsidR="005B7602" w:rsidRPr="00812A8E" w:rsidRDefault="005B7602" w:rsidP="001E2046">
            <w:pPr>
              <w:pStyle w:val="Heading2"/>
              <w:keepNext w:val="0"/>
              <w:rPr>
                <w:rFonts w:ascii="Arial" w:hAnsi="Arial" w:cs="Arial"/>
                <w:b w:val="0"/>
                <w:bCs w:val="0"/>
                <w:sz w:val="20"/>
                <w:szCs w:val="20"/>
              </w:rPr>
            </w:pPr>
          </w:p>
        </w:tc>
        <w:tc>
          <w:tcPr>
            <w:tcW w:w="4368" w:type="pct"/>
          </w:tcPr>
          <w:p w14:paraId="2E13477F" w14:textId="176C41EA" w:rsidR="005B7602" w:rsidRPr="00812A8E" w:rsidRDefault="005B7602" w:rsidP="001E2046">
            <w:pPr>
              <w:pStyle w:val="Default0"/>
              <w:rPr>
                <w:rFonts w:ascii="Arial" w:eastAsiaTheme="minorHAnsi" w:hAnsi="Arial" w:cs="Arial"/>
                <w:color w:val="auto"/>
                <w:sz w:val="20"/>
                <w:szCs w:val="20"/>
              </w:rPr>
            </w:pPr>
            <w:r w:rsidRPr="00812A8E">
              <w:rPr>
                <w:rFonts w:ascii="Arial" w:eastAsiaTheme="minorHAnsi" w:hAnsi="Arial" w:cs="Arial"/>
                <w:color w:val="auto"/>
                <w:sz w:val="20"/>
                <w:szCs w:val="20"/>
              </w:rPr>
              <w:t>FASB definitions should be modified for the government environment.</w:t>
            </w:r>
          </w:p>
        </w:tc>
      </w:tr>
      <w:tr w:rsidR="005B7602" w:rsidRPr="00812A8E" w14:paraId="5D638175" w14:textId="77777777" w:rsidTr="005B7602">
        <w:trPr>
          <w:trHeight w:val="116"/>
        </w:trPr>
        <w:tc>
          <w:tcPr>
            <w:tcW w:w="632" w:type="pct"/>
          </w:tcPr>
          <w:p w14:paraId="2D8DA509" w14:textId="5557ED5E" w:rsidR="005B7602" w:rsidRPr="00812A8E" w:rsidRDefault="005B7602" w:rsidP="001E2046">
            <w:pPr>
              <w:pStyle w:val="Heading2"/>
              <w:keepNext w:val="0"/>
              <w:rPr>
                <w:rFonts w:ascii="Arial" w:hAnsi="Arial" w:cs="Arial"/>
                <w:b w:val="0"/>
                <w:bCs w:val="0"/>
                <w:sz w:val="20"/>
                <w:szCs w:val="20"/>
              </w:rPr>
            </w:pPr>
          </w:p>
        </w:tc>
        <w:tc>
          <w:tcPr>
            <w:tcW w:w="4368" w:type="pct"/>
          </w:tcPr>
          <w:p w14:paraId="7A4C54F0" w14:textId="4E11FD5E" w:rsidR="005B7602" w:rsidRPr="00812A8E" w:rsidRDefault="005B7602" w:rsidP="001E2046">
            <w:pPr>
              <w:pStyle w:val="Default0"/>
              <w:rPr>
                <w:rFonts w:ascii="Arial" w:eastAsiaTheme="minorHAnsi" w:hAnsi="Arial" w:cs="Arial"/>
                <w:color w:val="auto"/>
                <w:sz w:val="20"/>
                <w:szCs w:val="20"/>
              </w:rPr>
            </w:pPr>
            <w:r w:rsidRPr="00812A8E">
              <w:rPr>
                <w:rFonts w:ascii="Arial" w:eastAsiaTheme="minorHAnsi" w:hAnsi="Arial" w:cs="Arial"/>
                <w:color w:val="auto"/>
                <w:sz w:val="20"/>
                <w:szCs w:val="20"/>
              </w:rPr>
              <w:t>Property held for sale can sometimes be classified as an Investment.</w:t>
            </w:r>
          </w:p>
        </w:tc>
      </w:tr>
      <w:tr w:rsidR="005B7602" w:rsidRPr="00812A8E" w14:paraId="58C0AE58" w14:textId="77777777" w:rsidTr="005B7602">
        <w:trPr>
          <w:trHeight w:val="116"/>
        </w:trPr>
        <w:tc>
          <w:tcPr>
            <w:tcW w:w="632" w:type="pct"/>
          </w:tcPr>
          <w:p w14:paraId="4BA32A36" w14:textId="77777777" w:rsidR="005B7602" w:rsidRPr="00812A8E" w:rsidRDefault="005B7602" w:rsidP="001E2046">
            <w:pPr>
              <w:pStyle w:val="Heading2"/>
              <w:keepNext w:val="0"/>
              <w:rPr>
                <w:rFonts w:ascii="Arial" w:hAnsi="Arial" w:cs="Arial"/>
                <w:b w:val="0"/>
                <w:bCs w:val="0"/>
                <w:sz w:val="20"/>
                <w:szCs w:val="20"/>
              </w:rPr>
            </w:pPr>
          </w:p>
        </w:tc>
        <w:tc>
          <w:tcPr>
            <w:tcW w:w="4368" w:type="pct"/>
          </w:tcPr>
          <w:p w14:paraId="3C3F0572" w14:textId="77777777" w:rsidR="005B7602" w:rsidRPr="00812A8E" w:rsidRDefault="005B7602" w:rsidP="001E2046">
            <w:pPr>
              <w:pStyle w:val="Default0"/>
              <w:rPr>
                <w:rFonts w:ascii="Arial" w:eastAsiaTheme="minorHAnsi" w:hAnsi="Arial" w:cs="Arial"/>
                <w:color w:val="auto"/>
                <w:sz w:val="20"/>
                <w:szCs w:val="20"/>
              </w:rPr>
            </w:pPr>
          </w:p>
        </w:tc>
      </w:tr>
      <w:tr w:rsidR="005B7602" w:rsidRPr="00812A8E" w14:paraId="0211AD81" w14:textId="77777777" w:rsidTr="005B7602">
        <w:trPr>
          <w:trHeight w:val="116"/>
        </w:trPr>
        <w:tc>
          <w:tcPr>
            <w:tcW w:w="632" w:type="pct"/>
          </w:tcPr>
          <w:p w14:paraId="07CC7FE6" w14:textId="1577E490" w:rsidR="005B7602" w:rsidRPr="00812A8E" w:rsidRDefault="005B7602" w:rsidP="001E2046">
            <w:pPr>
              <w:pStyle w:val="Heading2"/>
              <w:keepNext w:val="0"/>
              <w:rPr>
                <w:rFonts w:ascii="Arial" w:hAnsi="Arial" w:cs="Arial"/>
                <w:b w:val="0"/>
                <w:bCs w:val="0"/>
                <w:sz w:val="20"/>
                <w:szCs w:val="20"/>
              </w:rPr>
            </w:pPr>
            <w:r w:rsidRPr="00812A8E">
              <w:rPr>
                <w:rFonts w:ascii="Arial" w:hAnsi="Arial" w:cs="Arial"/>
                <w:b w:val="0"/>
                <w:bCs w:val="0"/>
                <w:sz w:val="20"/>
                <w:szCs w:val="20"/>
              </w:rPr>
              <w:t>157</w:t>
            </w:r>
          </w:p>
        </w:tc>
        <w:tc>
          <w:tcPr>
            <w:tcW w:w="4368" w:type="pct"/>
          </w:tcPr>
          <w:p w14:paraId="56AE9186" w14:textId="3E03C6BA" w:rsidR="005B7602" w:rsidRPr="00812A8E" w:rsidRDefault="005B7602" w:rsidP="001E2046">
            <w:pPr>
              <w:ind w:firstLine="20"/>
              <w:jc w:val="both"/>
              <w:rPr>
                <w:rFonts w:ascii="Arial" w:hAnsi="Arial" w:cs="Arial"/>
                <w:sz w:val="20"/>
                <w:szCs w:val="20"/>
              </w:rPr>
            </w:pPr>
            <w:r w:rsidRPr="00812A8E">
              <w:rPr>
                <w:rFonts w:ascii="Arial" w:hAnsi="Arial" w:cs="Arial"/>
                <w:sz w:val="20"/>
                <w:szCs w:val="20"/>
              </w:rPr>
              <w:t>It is unclear if this is referring to a receivable or a revenue.  Also, a better definition of taxes might be, “Ad valorem taxes levied on assessed valuation of real and/or personal property.”</w:t>
            </w:r>
          </w:p>
        </w:tc>
      </w:tr>
      <w:tr w:rsidR="005B7602" w:rsidRPr="00812A8E" w14:paraId="2A3999F0" w14:textId="77777777" w:rsidTr="005B7602">
        <w:trPr>
          <w:trHeight w:val="116"/>
        </w:trPr>
        <w:tc>
          <w:tcPr>
            <w:tcW w:w="632" w:type="pct"/>
          </w:tcPr>
          <w:p w14:paraId="29F00CD1" w14:textId="77777777" w:rsidR="005B7602" w:rsidRPr="00812A8E" w:rsidRDefault="005B7602" w:rsidP="001E2046">
            <w:pPr>
              <w:pStyle w:val="Heading2"/>
              <w:keepNext w:val="0"/>
              <w:rPr>
                <w:rFonts w:ascii="Arial" w:hAnsi="Arial" w:cs="Arial"/>
                <w:b w:val="0"/>
                <w:bCs w:val="0"/>
                <w:sz w:val="20"/>
                <w:szCs w:val="20"/>
              </w:rPr>
            </w:pPr>
          </w:p>
        </w:tc>
        <w:tc>
          <w:tcPr>
            <w:tcW w:w="4368" w:type="pct"/>
          </w:tcPr>
          <w:p w14:paraId="1E9A8DAB" w14:textId="77777777" w:rsidR="005B7602" w:rsidRPr="00812A8E" w:rsidRDefault="005B7602" w:rsidP="001E2046">
            <w:pPr>
              <w:pStyle w:val="Default0"/>
              <w:rPr>
                <w:rFonts w:ascii="Arial" w:eastAsiaTheme="minorHAnsi" w:hAnsi="Arial" w:cs="Arial"/>
                <w:color w:val="auto"/>
                <w:sz w:val="20"/>
                <w:szCs w:val="20"/>
              </w:rPr>
            </w:pPr>
          </w:p>
        </w:tc>
      </w:tr>
      <w:tr w:rsidR="005B7602" w:rsidRPr="00812A8E" w14:paraId="749FD46B" w14:textId="77777777" w:rsidTr="005B7602">
        <w:trPr>
          <w:trHeight w:val="116"/>
        </w:trPr>
        <w:tc>
          <w:tcPr>
            <w:tcW w:w="632" w:type="pct"/>
          </w:tcPr>
          <w:p w14:paraId="145A462A" w14:textId="1F696132" w:rsidR="005B7602" w:rsidRPr="00812A8E" w:rsidRDefault="005B7602" w:rsidP="001E2046">
            <w:pPr>
              <w:pStyle w:val="Heading2"/>
              <w:keepNext w:val="0"/>
              <w:rPr>
                <w:rFonts w:ascii="Arial" w:hAnsi="Arial" w:cs="Arial"/>
                <w:b w:val="0"/>
                <w:bCs w:val="0"/>
                <w:sz w:val="20"/>
                <w:szCs w:val="20"/>
              </w:rPr>
            </w:pPr>
            <w:r w:rsidRPr="00812A8E">
              <w:rPr>
                <w:rFonts w:ascii="Arial" w:hAnsi="Arial" w:cs="Arial"/>
                <w:b w:val="0"/>
                <w:bCs w:val="0"/>
                <w:sz w:val="20"/>
                <w:szCs w:val="20"/>
              </w:rPr>
              <w:t xml:space="preserve">158 </w:t>
            </w:r>
          </w:p>
        </w:tc>
        <w:tc>
          <w:tcPr>
            <w:tcW w:w="4368" w:type="pct"/>
          </w:tcPr>
          <w:p w14:paraId="1CEABEA0" w14:textId="50088AE6" w:rsidR="005B7602" w:rsidRPr="00812A8E" w:rsidRDefault="005B7602" w:rsidP="001E2046">
            <w:pPr>
              <w:pStyle w:val="Default0"/>
              <w:rPr>
                <w:rFonts w:ascii="Arial" w:eastAsiaTheme="minorHAnsi" w:hAnsi="Arial" w:cs="Arial"/>
                <w:color w:val="auto"/>
                <w:sz w:val="20"/>
                <w:szCs w:val="20"/>
              </w:rPr>
            </w:pPr>
            <w:r w:rsidRPr="00812A8E">
              <w:rPr>
                <w:rFonts w:ascii="Arial" w:eastAsiaTheme="minorHAnsi" w:hAnsi="Arial" w:cs="Arial"/>
                <w:color w:val="auto"/>
                <w:sz w:val="20"/>
                <w:szCs w:val="20"/>
              </w:rPr>
              <w:t>The reference to GASB Cod. 1300.109 should be expanded to also include paragraph .110.</w:t>
            </w:r>
          </w:p>
        </w:tc>
      </w:tr>
      <w:tr w:rsidR="005B7602" w:rsidRPr="00812A8E" w14:paraId="604A838A" w14:textId="77777777" w:rsidTr="005B7602">
        <w:trPr>
          <w:trHeight w:val="116"/>
        </w:trPr>
        <w:tc>
          <w:tcPr>
            <w:tcW w:w="632" w:type="pct"/>
          </w:tcPr>
          <w:p w14:paraId="2F3B8027" w14:textId="77777777" w:rsidR="005B7602" w:rsidRPr="00812A8E" w:rsidRDefault="005B7602" w:rsidP="001E2046">
            <w:pPr>
              <w:pStyle w:val="Heading2"/>
              <w:keepNext w:val="0"/>
              <w:rPr>
                <w:rFonts w:ascii="Arial" w:hAnsi="Arial" w:cs="Arial"/>
                <w:b w:val="0"/>
                <w:bCs w:val="0"/>
                <w:sz w:val="20"/>
                <w:szCs w:val="20"/>
              </w:rPr>
            </w:pPr>
          </w:p>
        </w:tc>
        <w:tc>
          <w:tcPr>
            <w:tcW w:w="4368" w:type="pct"/>
          </w:tcPr>
          <w:p w14:paraId="36E091EA" w14:textId="77777777" w:rsidR="005B7602" w:rsidRPr="00812A8E" w:rsidRDefault="005B7602" w:rsidP="001E2046">
            <w:pPr>
              <w:pStyle w:val="Default0"/>
              <w:rPr>
                <w:rFonts w:ascii="Arial" w:eastAsiaTheme="minorHAnsi" w:hAnsi="Arial" w:cs="Arial"/>
                <w:color w:val="auto"/>
                <w:sz w:val="20"/>
                <w:szCs w:val="20"/>
              </w:rPr>
            </w:pPr>
          </w:p>
        </w:tc>
      </w:tr>
      <w:tr w:rsidR="005B7602" w:rsidRPr="00812A8E" w14:paraId="692107DD" w14:textId="77777777" w:rsidTr="005B7602">
        <w:trPr>
          <w:trHeight w:val="116"/>
        </w:trPr>
        <w:tc>
          <w:tcPr>
            <w:tcW w:w="632" w:type="pct"/>
          </w:tcPr>
          <w:p w14:paraId="3CCEDB73" w14:textId="5455D3E3" w:rsidR="005B7602" w:rsidRPr="00812A8E" w:rsidRDefault="005B7602" w:rsidP="001E2046">
            <w:pPr>
              <w:pStyle w:val="Heading2"/>
              <w:keepNext w:val="0"/>
              <w:rPr>
                <w:rFonts w:ascii="Arial" w:hAnsi="Arial" w:cs="Arial"/>
                <w:b w:val="0"/>
                <w:bCs w:val="0"/>
                <w:sz w:val="20"/>
                <w:szCs w:val="20"/>
              </w:rPr>
            </w:pPr>
            <w:r w:rsidRPr="00812A8E">
              <w:rPr>
                <w:rFonts w:ascii="Arial" w:hAnsi="Arial" w:cs="Arial"/>
                <w:b w:val="0"/>
                <w:bCs w:val="0"/>
                <w:sz w:val="20"/>
                <w:szCs w:val="20"/>
              </w:rPr>
              <w:t>160</w:t>
            </w:r>
          </w:p>
        </w:tc>
        <w:tc>
          <w:tcPr>
            <w:tcW w:w="4368" w:type="pct"/>
          </w:tcPr>
          <w:p w14:paraId="47998F73" w14:textId="1CCD214A" w:rsidR="005B7602" w:rsidRPr="00812A8E" w:rsidRDefault="005B7602" w:rsidP="001E2046">
            <w:pPr>
              <w:pStyle w:val="Default0"/>
              <w:rPr>
                <w:rFonts w:ascii="Arial" w:eastAsiaTheme="minorHAnsi" w:hAnsi="Arial" w:cs="Arial"/>
                <w:color w:val="auto"/>
                <w:sz w:val="20"/>
                <w:szCs w:val="20"/>
              </w:rPr>
            </w:pPr>
            <w:r w:rsidRPr="00812A8E">
              <w:rPr>
                <w:rFonts w:ascii="Arial" w:eastAsiaTheme="minorHAnsi" w:hAnsi="Arial" w:cs="Arial"/>
                <w:color w:val="auto"/>
                <w:sz w:val="20"/>
                <w:szCs w:val="20"/>
              </w:rPr>
              <w:t>I think this definition was meant for Full-Accrual Accounting.  However, the definition can apply to modified accrual and the availability period for modified accrual is often 60 to 90 days.</w:t>
            </w:r>
          </w:p>
        </w:tc>
      </w:tr>
      <w:tr w:rsidR="005B7602" w:rsidRPr="00812A8E" w14:paraId="19715C6A" w14:textId="77777777" w:rsidTr="005B7602">
        <w:trPr>
          <w:trHeight w:val="116"/>
        </w:trPr>
        <w:tc>
          <w:tcPr>
            <w:tcW w:w="632" w:type="pct"/>
          </w:tcPr>
          <w:p w14:paraId="611B6E0D" w14:textId="77777777" w:rsidR="005B7602" w:rsidRPr="00812A8E" w:rsidRDefault="005B7602" w:rsidP="001E2046">
            <w:pPr>
              <w:pStyle w:val="Heading2"/>
              <w:keepNext w:val="0"/>
              <w:rPr>
                <w:rFonts w:ascii="Arial" w:hAnsi="Arial" w:cs="Arial"/>
                <w:b w:val="0"/>
                <w:bCs w:val="0"/>
                <w:sz w:val="20"/>
                <w:szCs w:val="20"/>
              </w:rPr>
            </w:pPr>
          </w:p>
        </w:tc>
        <w:tc>
          <w:tcPr>
            <w:tcW w:w="4368" w:type="pct"/>
          </w:tcPr>
          <w:p w14:paraId="34220D9F" w14:textId="77777777" w:rsidR="005B7602" w:rsidRPr="00812A8E" w:rsidRDefault="005B7602" w:rsidP="001E2046">
            <w:pPr>
              <w:pStyle w:val="Default0"/>
              <w:rPr>
                <w:rFonts w:ascii="Arial" w:eastAsiaTheme="minorHAnsi" w:hAnsi="Arial" w:cs="Arial"/>
                <w:color w:val="auto"/>
                <w:sz w:val="20"/>
                <w:szCs w:val="20"/>
              </w:rPr>
            </w:pPr>
          </w:p>
        </w:tc>
      </w:tr>
      <w:tr w:rsidR="005B7602" w:rsidRPr="00812A8E" w14:paraId="656F1DD7" w14:textId="77777777" w:rsidTr="005B7602">
        <w:trPr>
          <w:trHeight w:val="116"/>
        </w:trPr>
        <w:tc>
          <w:tcPr>
            <w:tcW w:w="632" w:type="pct"/>
          </w:tcPr>
          <w:p w14:paraId="286F333E" w14:textId="16B81D9E" w:rsidR="005B7602" w:rsidRPr="00812A8E" w:rsidRDefault="005B7602" w:rsidP="001E2046">
            <w:pPr>
              <w:pStyle w:val="Heading2"/>
              <w:keepNext w:val="0"/>
              <w:rPr>
                <w:rFonts w:ascii="Arial" w:hAnsi="Arial" w:cs="Arial"/>
                <w:b w:val="0"/>
                <w:bCs w:val="0"/>
                <w:sz w:val="20"/>
                <w:szCs w:val="20"/>
              </w:rPr>
            </w:pPr>
            <w:r w:rsidRPr="00812A8E">
              <w:rPr>
                <w:rFonts w:ascii="Arial" w:hAnsi="Arial" w:cs="Arial"/>
                <w:b w:val="0"/>
                <w:bCs w:val="0"/>
                <w:sz w:val="20"/>
                <w:szCs w:val="20"/>
              </w:rPr>
              <w:t>161</w:t>
            </w:r>
          </w:p>
        </w:tc>
        <w:tc>
          <w:tcPr>
            <w:tcW w:w="4368" w:type="pct"/>
          </w:tcPr>
          <w:p w14:paraId="681C4D98" w14:textId="77777777" w:rsidR="005B7602" w:rsidRPr="00812A8E" w:rsidRDefault="005B7602" w:rsidP="001E2046">
            <w:pPr>
              <w:pStyle w:val="Default0"/>
              <w:rPr>
                <w:rFonts w:ascii="Arial" w:eastAsiaTheme="minorHAnsi" w:hAnsi="Arial" w:cs="Arial"/>
                <w:color w:val="auto"/>
                <w:sz w:val="20"/>
                <w:szCs w:val="20"/>
              </w:rPr>
            </w:pPr>
            <w:r w:rsidRPr="00812A8E">
              <w:rPr>
                <w:rFonts w:ascii="Arial" w:eastAsiaTheme="minorHAnsi" w:hAnsi="Arial" w:cs="Arial"/>
                <w:color w:val="auto"/>
                <w:sz w:val="20"/>
                <w:szCs w:val="20"/>
              </w:rPr>
              <w:t>Suggest adding the following in column D, Documentation:</w:t>
            </w:r>
          </w:p>
          <w:p w14:paraId="20D9BB7A" w14:textId="77777777" w:rsidR="005B7602" w:rsidRPr="00812A8E" w:rsidRDefault="005B7602" w:rsidP="001E2046">
            <w:pPr>
              <w:pStyle w:val="Default0"/>
              <w:rPr>
                <w:rFonts w:ascii="Arial" w:eastAsiaTheme="minorHAnsi" w:hAnsi="Arial" w:cs="Arial"/>
                <w:color w:val="auto"/>
                <w:sz w:val="20"/>
                <w:szCs w:val="20"/>
              </w:rPr>
            </w:pPr>
          </w:p>
          <w:p w14:paraId="5BFA0971" w14:textId="5AF5A96A" w:rsidR="005B7602" w:rsidRPr="00812A8E" w:rsidRDefault="005B7602" w:rsidP="001E2046">
            <w:pPr>
              <w:pStyle w:val="Default0"/>
              <w:rPr>
                <w:rFonts w:ascii="Arial" w:eastAsiaTheme="minorHAnsi" w:hAnsi="Arial" w:cs="Arial"/>
                <w:color w:val="auto"/>
                <w:sz w:val="20"/>
                <w:szCs w:val="20"/>
              </w:rPr>
            </w:pPr>
            <w:r w:rsidRPr="00812A8E">
              <w:rPr>
                <w:rFonts w:ascii="Arial" w:eastAsiaTheme="minorHAnsi" w:hAnsi="Arial" w:cs="Arial"/>
                <w:color w:val="auto"/>
                <w:sz w:val="20"/>
                <w:szCs w:val="20"/>
              </w:rPr>
              <w:t xml:space="preserve">Party to transaction that an informed observer might reasonably believe reflects considerations other than economic </w:t>
            </w:r>
            <w:proofErr w:type="spellStart"/>
            <w:r w:rsidRPr="00812A8E">
              <w:rPr>
                <w:rFonts w:ascii="Arial" w:eastAsiaTheme="minorHAnsi" w:hAnsi="Arial" w:cs="Arial"/>
                <w:color w:val="auto"/>
                <w:sz w:val="20"/>
                <w:szCs w:val="20"/>
              </w:rPr>
              <w:t>self interest</w:t>
            </w:r>
            <w:proofErr w:type="spellEnd"/>
            <w:r w:rsidRPr="00812A8E">
              <w:rPr>
                <w:rFonts w:ascii="Arial" w:eastAsiaTheme="minorHAnsi" w:hAnsi="Arial" w:cs="Arial"/>
                <w:color w:val="auto"/>
                <w:sz w:val="20"/>
                <w:szCs w:val="20"/>
              </w:rPr>
              <w:t xml:space="preserve"> based upon the relationship that exists between the parties to the transaction.  The term often is used in contrast to an arm's length transaction.</w:t>
            </w:r>
          </w:p>
          <w:p w14:paraId="224910E4" w14:textId="77777777" w:rsidR="005B7602" w:rsidRPr="00812A8E" w:rsidRDefault="005B7602" w:rsidP="001E2046">
            <w:pPr>
              <w:pStyle w:val="Default0"/>
              <w:rPr>
                <w:rFonts w:ascii="Arial" w:eastAsiaTheme="minorHAnsi" w:hAnsi="Arial" w:cs="Arial"/>
                <w:color w:val="auto"/>
                <w:sz w:val="20"/>
                <w:szCs w:val="20"/>
              </w:rPr>
            </w:pPr>
          </w:p>
          <w:p w14:paraId="6819B053" w14:textId="77777777" w:rsidR="005B7602" w:rsidRPr="00812A8E" w:rsidRDefault="005B7602" w:rsidP="001E2046">
            <w:pPr>
              <w:pStyle w:val="Default0"/>
              <w:rPr>
                <w:rFonts w:ascii="Arial" w:eastAsiaTheme="minorHAnsi" w:hAnsi="Arial" w:cs="Arial"/>
                <w:color w:val="auto"/>
                <w:sz w:val="20"/>
                <w:szCs w:val="20"/>
              </w:rPr>
            </w:pPr>
            <w:r w:rsidRPr="00812A8E">
              <w:rPr>
                <w:rFonts w:ascii="Arial" w:eastAsiaTheme="minorHAnsi" w:hAnsi="Arial" w:cs="Arial"/>
                <w:color w:val="auto"/>
                <w:sz w:val="20"/>
                <w:szCs w:val="20"/>
              </w:rPr>
              <w:t>Suggest adding reference:</w:t>
            </w:r>
          </w:p>
          <w:p w14:paraId="3C8E5484" w14:textId="77777777" w:rsidR="005B7602" w:rsidRPr="00812A8E" w:rsidRDefault="005B7602" w:rsidP="001E2046">
            <w:pPr>
              <w:pStyle w:val="Default0"/>
              <w:rPr>
                <w:rFonts w:ascii="Arial" w:eastAsiaTheme="minorHAnsi" w:hAnsi="Arial" w:cs="Arial"/>
                <w:color w:val="auto"/>
                <w:sz w:val="20"/>
                <w:szCs w:val="20"/>
              </w:rPr>
            </w:pPr>
          </w:p>
          <w:p w14:paraId="3B4D292A" w14:textId="77777777" w:rsidR="005B7602" w:rsidRPr="00812A8E" w:rsidRDefault="005B7602" w:rsidP="001E2046">
            <w:pPr>
              <w:pStyle w:val="Default0"/>
              <w:rPr>
                <w:rFonts w:ascii="Arial" w:eastAsiaTheme="minorHAnsi" w:hAnsi="Arial" w:cs="Arial"/>
                <w:color w:val="auto"/>
                <w:sz w:val="20"/>
                <w:szCs w:val="20"/>
              </w:rPr>
            </w:pPr>
            <w:r w:rsidRPr="00812A8E">
              <w:rPr>
                <w:rFonts w:ascii="Arial" w:eastAsiaTheme="minorHAnsi" w:hAnsi="Arial" w:cs="Arial"/>
                <w:color w:val="auto"/>
                <w:sz w:val="20"/>
                <w:szCs w:val="20"/>
              </w:rPr>
              <w:t>Stephen J. Gauthier, Governmental Accounting, Auditing, and Financial Reporting, GFOA, 2014.</w:t>
            </w:r>
          </w:p>
          <w:p w14:paraId="1F6E4C3A" w14:textId="1A31089A" w:rsidR="005B7602" w:rsidRPr="00812A8E" w:rsidRDefault="005B7602" w:rsidP="001E2046">
            <w:pPr>
              <w:pStyle w:val="Default0"/>
              <w:rPr>
                <w:rFonts w:ascii="Arial" w:eastAsiaTheme="minorHAnsi" w:hAnsi="Arial" w:cs="Arial"/>
                <w:color w:val="auto"/>
                <w:sz w:val="20"/>
                <w:szCs w:val="20"/>
              </w:rPr>
            </w:pPr>
            <w:r w:rsidRPr="00812A8E">
              <w:rPr>
                <w:rFonts w:ascii="Arial" w:eastAsiaTheme="minorHAnsi" w:hAnsi="Arial" w:cs="Arial"/>
                <w:color w:val="auto"/>
                <w:sz w:val="20"/>
                <w:szCs w:val="20"/>
              </w:rPr>
              <w:t>Appendix G</w:t>
            </w:r>
          </w:p>
        </w:tc>
      </w:tr>
      <w:tr w:rsidR="005B7602" w:rsidRPr="00812A8E" w14:paraId="290C8044" w14:textId="77777777" w:rsidTr="005B7602">
        <w:trPr>
          <w:trHeight w:val="116"/>
        </w:trPr>
        <w:tc>
          <w:tcPr>
            <w:tcW w:w="632" w:type="pct"/>
          </w:tcPr>
          <w:p w14:paraId="0D64C7C3" w14:textId="77777777" w:rsidR="005B7602" w:rsidRPr="00812A8E" w:rsidRDefault="005B7602" w:rsidP="001E2046">
            <w:pPr>
              <w:pStyle w:val="Heading2"/>
              <w:keepNext w:val="0"/>
              <w:rPr>
                <w:rFonts w:ascii="Arial" w:hAnsi="Arial" w:cs="Arial"/>
                <w:b w:val="0"/>
                <w:bCs w:val="0"/>
                <w:sz w:val="20"/>
                <w:szCs w:val="20"/>
              </w:rPr>
            </w:pPr>
          </w:p>
        </w:tc>
        <w:tc>
          <w:tcPr>
            <w:tcW w:w="4368" w:type="pct"/>
          </w:tcPr>
          <w:p w14:paraId="194C8EBC" w14:textId="77777777" w:rsidR="005B7602" w:rsidRPr="00812A8E" w:rsidRDefault="005B7602" w:rsidP="001E2046">
            <w:pPr>
              <w:pStyle w:val="Default0"/>
              <w:rPr>
                <w:rFonts w:ascii="Arial" w:eastAsiaTheme="minorHAnsi" w:hAnsi="Arial" w:cs="Arial"/>
                <w:color w:val="auto"/>
                <w:sz w:val="20"/>
                <w:szCs w:val="20"/>
              </w:rPr>
            </w:pPr>
          </w:p>
        </w:tc>
      </w:tr>
      <w:tr w:rsidR="005B7602" w:rsidRPr="00812A8E" w14:paraId="7298E701" w14:textId="77777777" w:rsidTr="005B7602">
        <w:trPr>
          <w:trHeight w:val="116"/>
        </w:trPr>
        <w:tc>
          <w:tcPr>
            <w:tcW w:w="632" w:type="pct"/>
          </w:tcPr>
          <w:p w14:paraId="5FA16C7F" w14:textId="35E641B3" w:rsidR="005B7602" w:rsidRPr="00812A8E" w:rsidRDefault="005B7602" w:rsidP="001E2046">
            <w:pPr>
              <w:pStyle w:val="Heading2"/>
              <w:keepNext w:val="0"/>
              <w:rPr>
                <w:rFonts w:ascii="Arial" w:hAnsi="Arial" w:cs="Arial"/>
                <w:b w:val="0"/>
                <w:bCs w:val="0"/>
                <w:sz w:val="20"/>
                <w:szCs w:val="20"/>
              </w:rPr>
            </w:pPr>
            <w:r w:rsidRPr="00812A8E">
              <w:rPr>
                <w:rFonts w:ascii="Arial" w:hAnsi="Arial" w:cs="Arial"/>
                <w:b w:val="0"/>
                <w:bCs w:val="0"/>
                <w:sz w:val="20"/>
                <w:szCs w:val="20"/>
              </w:rPr>
              <w:t>166</w:t>
            </w:r>
          </w:p>
        </w:tc>
        <w:tc>
          <w:tcPr>
            <w:tcW w:w="4368" w:type="pct"/>
          </w:tcPr>
          <w:p w14:paraId="075C14DC" w14:textId="390F2DE3" w:rsidR="005B7602" w:rsidRPr="00812A8E" w:rsidRDefault="005B7602" w:rsidP="001E2046">
            <w:pPr>
              <w:pStyle w:val="Default0"/>
              <w:rPr>
                <w:rFonts w:ascii="Arial" w:eastAsiaTheme="minorHAnsi" w:hAnsi="Arial" w:cs="Arial"/>
                <w:color w:val="auto"/>
                <w:sz w:val="20"/>
                <w:szCs w:val="20"/>
              </w:rPr>
            </w:pPr>
            <w:r w:rsidRPr="00812A8E">
              <w:rPr>
                <w:rFonts w:ascii="Arial" w:eastAsiaTheme="minorHAnsi" w:hAnsi="Arial" w:cs="Arial"/>
                <w:color w:val="auto"/>
                <w:sz w:val="20"/>
                <w:szCs w:val="20"/>
              </w:rPr>
              <w:t>What is meant by restriction of a liability in the Element Column?</w:t>
            </w:r>
          </w:p>
        </w:tc>
      </w:tr>
      <w:tr w:rsidR="005B7602" w:rsidRPr="00812A8E" w14:paraId="1B4F71CF" w14:textId="77777777" w:rsidTr="005B7602">
        <w:trPr>
          <w:trHeight w:val="116"/>
        </w:trPr>
        <w:tc>
          <w:tcPr>
            <w:tcW w:w="632" w:type="pct"/>
          </w:tcPr>
          <w:p w14:paraId="58B34148" w14:textId="77777777" w:rsidR="005B7602" w:rsidRPr="00812A8E" w:rsidRDefault="005B7602" w:rsidP="001E2046">
            <w:pPr>
              <w:pStyle w:val="Heading2"/>
              <w:keepNext w:val="0"/>
              <w:rPr>
                <w:rFonts w:ascii="Arial" w:hAnsi="Arial" w:cs="Arial"/>
                <w:b w:val="0"/>
                <w:bCs w:val="0"/>
                <w:sz w:val="20"/>
                <w:szCs w:val="20"/>
              </w:rPr>
            </w:pPr>
          </w:p>
        </w:tc>
        <w:tc>
          <w:tcPr>
            <w:tcW w:w="4368" w:type="pct"/>
          </w:tcPr>
          <w:p w14:paraId="7131B73C" w14:textId="77777777" w:rsidR="005B7602" w:rsidRPr="00812A8E" w:rsidRDefault="005B7602" w:rsidP="001E2046">
            <w:pPr>
              <w:pStyle w:val="Default0"/>
              <w:rPr>
                <w:rFonts w:ascii="Arial" w:eastAsiaTheme="minorHAnsi" w:hAnsi="Arial" w:cs="Arial"/>
                <w:color w:val="auto"/>
                <w:sz w:val="20"/>
                <w:szCs w:val="20"/>
              </w:rPr>
            </w:pPr>
          </w:p>
        </w:tc>
      </w:tr>
      <w:tr w:rsidR="005B7602" w:rsidRPr="00812A8E" w14:paraId="02043080" w14:textId="77777777" w:rsidTr="005B7602">
        <w:trPr>
          <w:trHeight w:val="116"/>
        </w:trPr>
        <w:tc>
          <w:tcPr>
            <w:tcW w:w="632" w:type="pct"/>
          </w:tcPr>
          <w:p w14:paraId="70AEBCD8" w14:textId="5999B87D" w:rsidR="005B7602" w:rsidRPr="00812A8E" w:rsidRDefault="005B7602" w:rsidP="001E2046">
            <w:pPr>
              <w:pStyle w:val="Heading2"/>
              <w:keepNext w:val="0"/>
              <w:rPr>
                <w:rFonts w:ascii="Arial" w:hAnsi="Arial" w:cs="Arial"/>
                <w:b w:val="0"/>
                <w:bCs w:val="0"/>
                <w:sz w:val="20"/>
                <w:szCs w:val="20"/>
              </w:rPr>
            </w:pPr>
            <w:r w:rsidRPr="00812A8E">
              <w:rPr>
                <w:rFonts w:ascii="Arial" w:hAnsi="Arial" w:cs="Arial"/>
                <w:b w:val="0"/>
                <w:bCs w:val="0"/>
                <w:sz w:val="20"/>
                <w:szCs w:val="20"/>
              </w:rPr>
              <w:t>167</w:t>
            </w:r>
          </w:p>
        </w:tc>
        <w:tc>
          <w:tcPr>
            <w:tcW w:w="4368" w:type="pct"/>
          </w:tcPr>
          <w:p w14:paraId="70016ECA" w14:textId="0A917ACD" w:rsidR="005B7602" w:rsidRPr="00812A8E" w:rsidRDefault="005B7602" w:rsidP="001E2046">
            <w:pPr>
              <w:pStyle w:val="Default0"/>
              <w:rPr>
                <w:rFonts w:ascii="Arial" w:eastAsiaTheme="minorHAnsi" w:hAnsi="Arial" w:cs="Arial"/>
                <w:color w:val="auto"/>
                <w:sz w:val="20"/>
                <w:szCs w:val="20"/>
              </w:rPr>
            </w:pPr>
            <w:r w:rsidRPr="00812A8E">
              <w:rPr>
                <w:rFonts w:ascii="Arial" w:eastAsiaTheme="minorHAnsi" w:hAnsi="Arial" w:cs="Arial"/>
                <w:color w:val="auto"/>
                <w:sz w:val="20"/>
                <w:szCs w:val="20"/>
              </w:rPr>
              <w:t>What is meant by restriction of a liability in the Element Column?</w:t>
            </w:r>
          </w:p>
        </w:tc>
      </w:tr>
      <w:tr w:rsidR="005B7602" w:rsidRPr="00812A8E" w14:paraId="7C1C6493" w14:textId="77777777" w:rsidTr="005B7602">
        <w:trPr>
          <w:trHeight w:val="116"/>
        </w:trPr>
        <w:tc>
          <w:tcPr>
            <w:tcW w:w="632" w:type="pct"/>
          </w:tcPr>
          <w:p w14:paraId="05388606" w14:textId="77777777" w:rsidR="005B7602" w:rsidRPr="00812A8E" w:rsidRDefault="005B7602" w:rsidP="001E2046">
            <w:pPr>
              <w:pStyle w:val="Heading2"/>
              <w:keepNext w:val="0"/>
              <w:rPr>
                <w:rFonts w:ascii="Arial" w:hAnsi="Arial" w:cs="Arial"/>
                <w:b w:val="0"/>
                <w:bCs w:val="0"/>
                <w:sz w:val="20"/>
                <w:szCs w:val="20"/>
              </w:rPr>
            </w:pPr>
          </w:p>
        </w:tc>
        <w:tc>
          <w:tcPr>
            <w:tcW w:w="4368" w:type="pct"/>
          </w:tcPr>
          <w:p w14:paraId="423B6848" w14:textId="77777777" w:rsidR="005B7602" w:rsidRPr="00812A8E" w:rsidRDefault="005B7602" w:rsidP="001E2046">
            <w:pPr>
              <w:pStyle w:val="Default0"/>
              <w:rPr>
                <w:rFonts w:ascii="Arial" w:eastAsiaTheme="minorHAnsi" w:hAnsi="Arial" w:cs="Arial"/>
                <w:color w:val="auto"/>
                <w:sz w:val="20"/>
                <w:szCs w:val="20"/>
              </w:rPr>
            </w:pPr>
          </w:p>
        </w:tc>
      </w:tr>
      <w:tr w:rsidR="005B7602" w:rsidRPr="00812A8E" w14:paraId="4EDBCDDE" w14:textId="77777777" w:rsidTr="005B7602">
        <w:trPr>
          <w:trHeight w:val="116"/>
        </w:trPr>
        <w:tc>
          <w:tcPr>
            <w:tcW w:w="632" w:type="pct"/>
          </w:tcPr>
          <w:p w14:paraId="25847A7D" w14:textId="012DC290" w:rsidR="005B7602" w:rsidRPr="00812A8E" w:rsidRDefault="005B7602" w:rsidP="001E2046">
            <w:pPr>
              <w:pStyle w:val="Heading2"/>
              <w:keepNext w:val="0"/>
              <w:rPr>
                <w:rFonts w:ascii="Arial" w:hAnsi="Arial" w:cs="Arial"/>
                <w:b w:val="0"/>
                <w:bCs w:val="0"/>
                <w:sz w:val="20"/>
                <w:szCs w:val="20"/>
              </w:rPr>
            </w:pPr>
            <w:r w:rsidRPr="00812A8E">
              <w:rPr>
                <w:rFonts w:ascii="Arial" w:hAnsi="Arial" w:cs="Arial"/>
                <w:b w:val="0"/>
                <w:bCs w:val="0"/>
                <w:sz w:val="20"/>
                <w:szCs w:val="20"/>
              </w:rPr>
              <w:t xml:space="preserve">168 </w:t>
            </w:r>
          </w:p>
        </w:tc>
        <w:tc>
          <w:tcPr>
            <w:tcW w:w="4368" w:type="pct"/>
          </w:tcPr>
          <w:p w14:paraId="6D25668B" w14:textId="4157A01F" w:rsidR="005B7602" w:rsidRPr="00812A8E" w:rsidRDefault="005B7602" w:rsidP="001E2046">
            <w:pPr>
              <w:pStyle w:val="Default0"/>
              <w:rPr>
                <w:rFonts w:ascii="Arial" w:eastAsia="Times New Roman" w:hAnsi="Arial" w:cs="Arial"/>
                <w:sz w:val="20"/>
                <w:szCs w:val="20"/>
              </w:rPr>
            </w:pPr>
            <w:r w:rsidRPr="00812A8E">
              <w:rPr>
                <w:rFonts w:ascii="Arial" w:eastAsia="Times New Roman" w:hAnsi="Arial" w:cs="Arial"/>
                <w:sz w:val="20"/>
                <w:szCs w:val="20"/>
              </w:rPr>
              <w:t>Revenues – the description seems more applicable to a private sector entity than a government. However, no professional reference is provided for this item to determine its source. We suggest XBRL US review the description to ensure it is consistent with GASB pronouncements and provide appropriate professional references.</w:t>
            </w:r>
          </w:p>
        </w:tc>
      </w:tr>
      <w:tr w:rsidR="005B7602" w:rsidRPr="00812A8E" w14:paraId="1F56E473" w14:textId="77777777" w:rsidTr="005B7602">
        <w:trPr>
          <w:trHeight w:val="116"/>
        </w:trPr>
        <w:tc>
          <w:tcPr>
            <w:tcW w:w="632" w:type="pct"/>
          </w:tcPr>
          <w:p w14:paraId="32C9CE5D" w14:textId="293A0F95" w:rsidR="005B7602" w:rsidRPr="00812A8E" w:rsidRDefault="005B7602" w:rsidP="001E2046">
            <w:pPr>
              <w:pStyle w:val="Heading2"/>
              <w:keepNext w:val="0"/>
              <w:rPr>
                <w:rFonts w:ascii="Arial" w:hAnsi="Arial" w:cs="Arial"/>
                <w:b w:val="0"/>
                <w:bCs w:val="0"/>
                <w:sz w:val="20"/>
                <w:szCs w:val="20"/>
              </w:rPr>
            </w:pPr>
          </w:p>
        </w:tc>
        <w:tc>
          <w:tcPr>
            <w:tcW w:w="4368" w:type="pct"/>
          </w:tcPr>
          <w:p w14:paraId="7B8102D7" w14:textId="3D044308" w:rsidR="005B7602" w:rsidRPr="00812A8E" w:rsidRDefault="005B7602" w:rsidP="001E2046">
            <w:pPr>
              <w:pStyle w:val="Default0"/>
              <w:rPr>
                <w:rFonts w:ascii="Arial" w:eastAsiaTheme="minorHAnsi" w:hAnsi="Arial" w:cs="Arial"/>
                <w:color w:val="auto"/>
                <w:sz w:val="20"/>
                <w:szCs w:val="20"/>
              </w:rPr>
            </w:pPr>
            <w:r w:rsidRPr="00812A8E">
              <w:rPr>
                <w:rFonts w:ascii="Arial" w:hAnsi="Arial" w:cs="Arial"/>
                <w:sz w:val="20"/>
                <w:szCs w:val="20"/>
              </w:rPr>
              <w:t>This definition is unclear.</w:t>
            </w:r>
          </w:p>
        </w:tc>
      </w:tr>
      <w:tr w:rsidR="005B7602" w:rsidRPr="00812A8E" w14:paraId="169A04FB" w14:textId="77777777" w:rsidTr="005B7602">
        <w:trPr>
          <w:trHeight w:val="116"/>
        </w:trPr>
        <w:tc>
          <w:tcPr>
            <w:tcW w:w="632" w:type="pct"/>
          </w:tcPr>
          <w:p w14:paraId="107FC959" w14:textId="33749834" w:rsidR="005B7602" w:rsidRPr="00812A8E" w:rsidRDefault="005B7602" w:rsidP="001E2046">
            <w:pPr>
              <w:pStyle w:val="Heading2"/>
              <w:keepNext w:val="0"/>
              <w:rPr>
                <w:rFonts w:ascii="Arial" w:hAnsi="Arial" w:cs="Arial"/>
                <w:b w:val="0"/>
                <w:bCs w:val="0"/>
                <w:sz w:val="20"/>
                <w:szCs w:val="20"/>
              </w:rPr>
            </w:pPr>
          </w:p>
        </w:tc>
        <w:tc>
          <w:tcPr>
            <w:tcW w:w="4368" w:type="pct"/>
          </w:tcPr>
          <w:p w14:paraId="175442F9" w14:textId="1C7916E0" w:rsidR="005B7602" w:rsidRPr="00812A8E" w:rsidRDefault="005B7602" w:rsidP="001E2046">
            <w:pPr>
              <w:pStyle w:val="Default0"/>
              <w:rPr>
                <w:rFonts w:ascii="Arial" w:eastAsiaTheme="minorHAnsi" w:hAnsi="Arial" w:cs="Arial"/>
                <w:color w:val="auto"/>
                <w:sz w:val="20"/>
                <w:szCs w:val="20"/>
              </w:rPr>
            </w:pPr>
            <w:r w:rsidRPr="00812A8E">
              <w:rPr>
                <w:rFonts w:ascii="Arial" w:eastAsiaTheme="minorHAnsi" w:hAnsi="Arial" w:cs="Arial"/>
                <w:color w:val="auto"/>
                <w:sz w:val="20"/>
                <w:szCs w:val="20"/>
              </w:rPr>
              <w:t>Don’t understand.  Revenues are much broader than what is described here.  Is this supposed to describe revenues in an Enterprise Fund?</w:t>
            </w:r>
          </w:p>
        </w:tc>
      </w:tr>
      <w:tr w:rsidR="005B7602" w:rsidRPr="00812A8E" w14:paraId="0B05A1F3" w14:textId="77777777" w:rsidTr="005B7602">
        <w:trPr>
          <w:trHeight w:val="116"/>
        </w:trPr>
        <w:tc>
          <w:tcPr>
            <w:tcW w:w="632" w:type="pct"/>
          </w:tcPr>
          <w:p w14:paraId="5125EB23" w14:textId="77777777" w:rsidR="005B7602" w:rsidRPr="00812A8E" w:rsidRDefault="005B7602" w:rsidP="001E2046">
            <w:pPr>
              <w:pStyle w:val="Heading2"/>
              <w:keepNext w:val="0"/>
              <w:rPr>
                <w:rFonts w:ascii="Arial" w:hAnsi="Arial" w:cs="Arial"/>
                <w:b w:val="0"/>
                <w:bCs w:val="0"/>
                <w:sz w:val="20"/>
                <w:szCs w:val="20"/>
              </w:rPr>
            </w:pPr>
          </w:p>
        </w:tc>
        <w:tc>
          <w:tcPr>
            <w:tcW w:w="4368" w:type="pct"/>
          </w:tcPr>
          <w:p w14:paraId="2AAEB294" w14:textId="77777777" w:rsidR="005B7602" w:rsidRPr="00812A8E" w:rsidRDefault="005B7602" w:rsidP="001E2046">
            <w:pPr>
              <w:pStyle w:val="Default0"/>
              <w:rPr>
                <w:rFonts w:ascii="Arial" w:eastAsiaTheme="minorHAnsi" w:hAnsi="Arial" w:cs="Arial"/>
                <w:color w:val="auto"/>
                <w:sz w:val="20"/>
                <w:szCs w:val="20"/>
              </w:rPr>
            </w:pPr>
          </w:p>
        </w:tc>
      </w:tr>
      <w:tr w:rsidR="005B7602" w:rsidRPr="00812A8E" w14:paraId="33776D7B" w14:textId="77777777" w:rsidTr="005B7602">
        <w:trPr>
          <w:trHeight w:val="116"/>
        </w:trPr>
        <w:tc>
          <w:tcPr>
            <w:tcW w:w="632" w:type="pct"/>
          </w:tcPr>
          <w:p w14:paraId="016F1E78" w14:textId="757E513F" w:rsidR="005B7602" w:rsidRPr="00812A8E" w:rsidRDefault="005B7602" w:rsidP="001E2046">
            <w:pPr>
              <w:pStyle w:val="Heading2"/>
              <w:keepNext w:val="0"/>
              <w:rPr>
                <w:rFonts w:ascii="Arial" w:hAnsi="Arial" w:cs="Arial"/>
                <w:b w:val="0"/>
                <w:bCs w:val="0"/>
                <w:sz w:val="20"/>
                <w:szCs w:val="20"/>
              </w:rPr>
            </w:pPr>
            <w:r w:rsidRPr="00812A8E">
              <w:rPr>
                <w:rFonts w:ascii="Arial" w:hAnsi="Arial" w:cs="Arial"/>
                <w:b w:val="0"/>
                <w:bCs w:val="0"/>
                <w:sz w:val="20"/>
                <w:szCs w:val="20"/>
              </w:rPr>
              <w:t>173</w:t>
            </w:r>
          </w:p>
        </w:tc>
        <w:tc>
          <w:tcPr>
            <w:tcW w:w="4368" w:type="pct"/>
          </w:tcPr>
          <w:p w14:paraId="0FCFD6FD" w14:textId="3A059CA4" w:rsidR="005B7602" w:rsidRPr="00812A8E" w:rsidRDefault="005B7602" w:rsidP="001E2046">
            <w:pPr>
              <w:pStyle w:val="Default0"/>
              <w:rPr>
                <w:rFonts w:ascii="Arial" w:eastAsiaTheme="minorHAnsi" w:hAnsi="Arial" w:cs="Arial"/>
                <w:color w:val="auto"/>
                <w:sz w:val="20"/>
                <w:szCs w:val="20"/>
              </w:rPr>
            </w:pPr>
            <w:r w:rsidRPr="00812A8E">
              <w:rPr>
                <w:rFonts w:ascii="Arial" w:eastAsiaTheme="minorHAnsi" w:hAnsi="Arial" w:cs="Arial"/>
                <w:color w:val="auto"/>
                <w:sz w:val="20"/>
                <w:szCs w:val="20"/>
              </w:rPr>
              <w:t>Why the same as line 172?</w:t>
            </w:r>
          </w:p>
        </w:tc>
      </w:tr>
      <w:tr w:rsidR="005B7602" w:rsidRPr="00812A8E" w14:paraId="4290D788" w14:textId="77777777" w:rsidTr="005B7602">
        <w:trPr>
          <w:trHeight w:val="116"/>
        </w:trPr>
        <w:tc>
          <w:tcPr>
            <w:tcW w:w="632" w:type="pct"/>
          </w:tcPr>
          <w:p w14:paraId="6175A2BA" w14:textId="77777777" w:rsidR="005B7602" w:rsidRPr="00812A8E" w:rsidRDefault="005B7602" w:rsidP="001E2046">
            <w:pPr>
              <w:pStyle w:val="Heading2"/>
              <w:keepNext w:val="0"/>
              <w:rPr>
                <w:rFonts w:ascii="Arial" w:hAnsi="Arial" w:cs="Arial"/>
                <w:b w:val="0"/>
                <w:bCs w:val="0"/>
                <w:sz w:val="20"/>
                <w:szCs w:val="20"/>
              </w:rPr>
            </w:pPr>
          </w:p>
        </w:tc>
        <w:tc>
          <w:tcPr>
            <w:tcW w:w="4368" w:type="pct"/>
          </w:tcPr>
          <w:p w14:paraId="4084D29E" w14:textId="77777777" w:rsidR="005B7602" w:rsidRPr="00812A8E" w:rsidRDefault="005B7602" w:rsidP="001E2046">
            <w:pPr>
              <w:pStyle w:val="Default0"/>
              <w:rPr>
                <w:rFonts w:ascii="Arial" w:eastAsiaTheme="minorHAnsi" w:hAnsi="Arial" w:cs="Arial"/>
                <w:color w:val="auto"/>
                <w:sz w:val="20"/>
                <w:szCs w:val="20"/>
              </w:rPr>
            </w:pPr>
          </w:p>
        </w:tc>
      </w:tr>
      <w:tr w:rsidR="005B7602" w:rsidRPr="00812A8E" w14:paraId="67A5577E" w14:textId="77777777" w:rsidTr="005B7602">
        <w:trPr>
          <w:trHeight w:val="116"/>
        </w:trPr>
        <w:tc>
          <w:tcPr>
            <w:tcW w:w="632" w:type="pct"/>
          </w:tcPr>
          <w:p w14:paraId="49A957F8" w14:textId="41BCB651" w:rsidR="005B7602" w:rsidRPr="00812A8E" w:rsidRDefault="005B7602" w:rsidP="001E2046">
            <w:pPr>
              <w:pStyle w:val="Heading2"/>
              <w:keepNext w:val="0"/>
              <w:rPr>
                <w:rFonts w:ascii="Arial" w:hAnsi="Arial" w:cs="Arial"/>
                <w:b w:val="0"/>
                <w:bCs w:val="0"/>
                <w:sz w:val="20"/>
                <w:szCs w:val="20"/>
              </w:rPr>
            </w:pPr>
            <w:r w:rsidRPr="00812A8E">
              <w:rPr>
                <w:rFonts w:ascii="Arial" w:hAnsi="Arial" w:cs="Arial"/>
                <w:b w:val="0"/>
                <w:bCs w:val="0"/>
                <w:sz w:val="20"/>
                <w:szCs w:val="20"/>
              </w:rPr>
              <w:t>175</w:t>
            </w:r>
          </w:p>
        </w:tc>
        <w:tc>
          <w:tcPr>
            <w:tcW w:w="4368" w:type="pct"/>
          </w:tcPr>
          <w:p w14:paraId="1C822EF0" w14:textId="77777777" w:rsidR="005B7602" w:rsidRPr="00812A8E" w:rsidRDefault="005B7602" w:rsidP="001E2046">
            <w:pPr>
              <w:pStyle w:val="Default0"/>
              <w:rPr>
                <w:rFonts w:ascii="Arial" w:eastAsiaTheme="minorHAnsi" w:hAnsi="Arial" w:cs="Arial"/>
                <w:color w:val="auto"/>
                <w:sz w:val="20"/>
                <w:szCs w:val="20"/>
              </w:rPr>
            </w:pPr>
            <w:r w:rsidRPr="00812A8E">
              <w:rPr>
                <w:rFonts w:ascii="Arial" w:eastAsiaTheme="minorHAnsi" w:hAnsi="Arial" w:cs="Arial"/>
                <w:color w:val="auto"/>
                <w:sz w:val="20"/>
                <w:szCs w:val="20"/>
              </w:rPr>
              <w:t>Suggest</w:t>
            </w:r>
            <w:bookmarkStart w:id="1" w:name="_GoBack"/>
            <w:bookmarkEnd w:id="1"/>
            <w:r w:rsidRPr="00812A8E">
              <w:rPr>
                <w:rFonts w:ascii="Arial" w:eastAsiaTheme="minorHAnsi" w:hAnsi="Arial" w:cs="Arial"/>
                <w:color w:val="auto"/>
                <w:sz w:val="20"/>
                <w:szCs w:val="20"/>
              </w:rPr>
              <w:t xml:space="preserve"> adding the following in column D, Documentation:</w:t>
            </w:r>
          </w:p>
          <w:p w14:paraId="494F610A" w14:textId="77777777" w:rsidR="005B7602" w:rsidRPr="00812A8E" w:rsidRDefault="005B7602" w:rsidP="001E2046">
            <w:pPr>
              <w:pStyle w:val="Default0"/>
              <w:rPr>
                <w:rFonts w:ascii="Arial" w:eastAsiaTheme="minorHAnsi" w:hAnsi="Arial" w:cs="Arial"/>
                <w:color w:val="auto"/>
                <w:sz w:val="20"/>
                <w:szCs w:val="20"/>
              </w:rPr>
            </w:pPr>
          </w:p>
          <w:p w14:paraId="17BB05CE" w14:textId="7767271C" w:rsidR="005B7602" w:rsidRPr="00812A8E" w:rsidRDefault="005B7602" w:rsidP="001E2046">
            <w:pPr>
              <w:pStyle w:val="Default0"/>
              <w:rPr>
                <w:rFonts w:ascii="Arial" w:eastAsiaTheme="minorHAnsi" w:hAnsi="Arial" w:cs="Arial"/>
                <w:color w:val="auto"/>
                <w:sz w:val="20"/>
                <w:szCs w:val="20"/>
              </w:rPr>
            </w:pPr>
            <w:r w:rsidRPr="00812A8E">
              <w:rPr>
                <w:rFonts w:ascii="Arial" w:eastAsiaTheme="minorHAnsi" w:hAnsi="Arial" w:cs="Arial"/>
                <w:color w:val="auto"/>
                <w:sz w:val="20"/>
                <w:szCs w:val="20"/>
              </w:rPr>
              <w:t>Revenues that derive directly from the program itself (fees and charges) or from sources outside the reporting government's tax base directly related to the program; they reduce the net cost (program expenses) of the function to be financed from the government's general revenues.</w:t>
            </w:r>
          </w:p>
          <w:p w14:paraId="4B54562E" w14:textId="77777777" w:rsidR="005B7602" w:rsidRPr="00812A8E" w:rsidRDefault="005B7602" w:rsidP="001E2046">
            <w:pPr>
              <w:pStyle w:val="Default0"/>
              <w:rPr>
                <w:rFonts w:ascii="Arial" w:eastAsiaTheme="minorHAnsi" w:hAnsi="Arial" w:cs="Arial"/>
                <w:color w:val="auto"/>
                <w:sz w:val="20"/>
                <w:szCs w:val="20"/>
              </w:rPr>
            </w:pPr>
          </w:p>
          <w:p w14:paraId="7CDA7FEE" w14:textId="77777777" w:rsidR="005B7602" w:rsidRPr="00812A8E" w:rsidRDefault="005B7602" w:rsidP="001E2046">
            <w:pPr>
              <w:pStyle w:val="Default0"/>
              <w:rPr>
                <w:rFonts w:ascii="Arial" w:eastAsiaTheme="minorHAnsi" w:hAnsi="Arial" w:cs="Arial"/>
                <w:color w:val="auto"/>
                <w:sz w:val="20"/>
                <w:szCs w:val="20"/>
              </w:rPr>
            </w:pPr>
            <w:r w:rsidRPr="00812A8E">
              <w:rPr>
                <w:rFonts w:ascii="Arial" w:eastAsiaTheme="minorHAnsi" w:hAnsi="Arial" w:cs="Arial"/>
                <w:color w:val="auto"/>
                <w:sz w:val="20"/>
                <w:szCs w:val="20"/>
              </w:rPr>
              <w:t>Suggest adding reference:</w:t>
            </w:r>
          </w:p>
          <w:p w14:paraId="656AD454" w14:textId="77777777" w:rsidR="005B7602" w:rsidRPr="00812A8E" w:rsidRDefault="005B7602" w:rsidP="001E2046">
            <w:pPr>
              <w:pStyle w:val="Default0"/>
              <w:rPr>
                <w:rFonts w:ascii="Arial" w:eastAsiaTheme="minorHAnsi" w:hAnsi="Arial" w:cs="Arial"/>
                <w:color w:val="auto"/>
                <w:sz w:val="20"/>
                <w:szCs w:val="20"/>
              </w:rPr>
            </w:pPr>
          </w:p>
          <w:p w14:paraId="4E6098EB" w14:textId="77777777" w:rsidR="005B7602" w:rsidRPr="00812A8E" w:rsidRDefault="005B7602" w:rsidP="001E2046">
            <w:pPr>
              <w:pStyle w:val="Default0"/>
              <w:rPr>
                <w:rFonts w:ascii="Arial" w:eastAsiaTheme="minorHAnsi" w:hAnsi="Arial" w:cs="Arial"/>
                <w:color w:val="auto"/>
                <w:sz w:val="20"/>
                <w:szCs w:val="20"/>
              </w:rPr>
            </w:pPr>
            <w:r w:rsidRPr="00812A8E">
              <w:rPr>
                <w:rFonts w:ascii="Arial" w:eastAsiaTheme="minorHAnsi" w:hAnsi="Arial" w:cs="Arial"/>
                <w:color w:val="auto"/>
                <w:sz w:val="20"/>
                <w:szCs w:val="20"/>
              </w:rPr>
              <w:t>Stephen J. Gauthier, Governmental Accounting, Auditing, and Financial Reporting, GFOA, 2014.</w:t>
            </w:r>
          </w:p>
          <w:p w14:paraId="2CCA4AD3" w14:textId="6AD7599E" w:rsidR="005B7602" w:rsidRPr="00812A8E" w:rsidRDefault="005B7602" w:rsidP="001E2046">
            <w:pPr>
              <w:pStyle w:val="Default0"/>
              <w:rPr>
                <w:rFonts w:ascii="Arial" w:eastAsiaTheme="minorHAnsi" w:hAnsi="Arial" w:cs="Arial"/>
                <w:color w:val="auto"/>
                <w:sz w:val="20"/>
                <w:szCs w:val="20"/>
              </w:rPr>
            </w:pPr>
            <w:r w:rsidRPr="00812A8E">
              <w:rPr>
                <w:rFonts w:ascii="Arial" w:eastAsiaTheme="minorHAnsi" w:hAnsi="Arial" w:cs="Arial"/>
                <w:color w:val="auto"/>
                <w:sz w:val="20"/>
                <w:szCs w:val="20"/>
              </w:rPr>
              <w:t>Appendix G</w:t>
            </w:r>
          </w:p>
        </w:tc>
      </w:tr>
      <w:tr w:rsidR="005B7602" w:rsidRPr="00812A8E" w14:paraId="1E791CFD" w14:textId="77777777" w:rsidTr="005B7602">
        <w:trPr>
          <w:trHeight w:val="116"/>
        </w:trPr>
        <w:tc>
          <w:tcPr>
            <w:tcW w:w="632" w:type="pct"/>
          </w:tcPr>
          <w:p w14:paraId="4D1A761F" w14:textId="77777777" w:rsidR="005B7602" w:rsidRPr="00812A8E" w:rsidRDefault="005B7602" w:rsidP="001E2046">
            <w:pPr>
              <w:pStyle w:val="Heading2"/>
              <w:keepNext w:val="0"/>
              <w:rPr>
                <w:rFonts w:ascii="Arial" w:hAnsi="Arial" w:cs="Arial"/>
                <w:b w:val="0"/>
                <w:bCs w:val="0"/>
                <w:sz w:val="20"/>
                <w:szCs w:val="20"/>
              </w:rPr>
            </w:pPr>
          </w:p>
        </w:tc>
        <w:tc>
          <w:tcPr>
            <w:tcW w:w="4368" w:type="pct"/>
          </w:tcPr>
          <w:p w14:paraId="243EF63C" w14:textId="77777777" w:rsidR="005B7602" w:rsidRPr="00812A8E" w:rsidRDefault="005B7602" w:rsidP="001E2046">
            <w:pPr>
              <w:pStyle w:val="Default0"/>
              <w:rPr>
                <w:rFonts w:ascii="Arial" w:eastAsiaTheme="minorHAnsi" w:hAnsi="Arial" w:cs="Arial"/>
                <w:color w:val="auto"/>
                <w:sz w:val="20"/>
                <w:szCs w:val="20"/>
              </w:rPr>
            </w:pPr>
          </w:p>
        </w:tc>
      </w:tr>
      <w:tr w:rsidR="005B7602" w:rsidRPr="00812A8E" w14:paraId="7F561C31" w14:textId="77777777" w:rsidTr="005B7602">
        <w:trPr>
          <w:trHeight w:val="116"/>
        </w:trPr>
        <w:tc>
          <w:tcPr>
            <w:tcW w:w="632" w:type="pct"/>
          </w:tcPr>
          <w:p w14:paraId="6A060FAA" w14:textId="2B9D197D" w:rsidR="005B7602" w:rsidRPr="00812A8E" w:rsidRDefault="005B7602" w:rsidP="001E2046">
            <w:pPr>
              <w:pStyle w:val="Heading2"/>
              <w:keepNext w:val="0"/>
              <w:rPr>
                <w:rFonts w:ascii="Arial" w:hAnsi="Arial" w:cs="Arial"/>
                <w:b w:val="0"/>
                <w:bCs w:val="0"/>
                <w:sz w:val="20"/>
                <w:szCs w:val="20"/>
              </w:rPr>
            </w:pPr>
            <w:r w:rsidRPr="00812A8E">
              <w:rPr>
                <w:rFonts w:ascii="Arial" w:hAnsi="Arial" w:cs="Arial"/>
                <w:b w:val="0"/>
                <w:bCs w:val="0"/>
                <w:sz w:val="20"/>
                <w:szCs w:val="20"/>
              </w:rPr>
              <w:t>190</w:t>
            </w:r>
          </w:p>
        </w:tc>
        <w:tc>
          <w:tcPr>
            <w:tcW w:w="4368" w:type="pct"/>
          </w:tcPr>
          <w:p w14:paraId="126D1F4A" w14:textId="03E34B08" w:rsidR="005B7602" w:rsidRPr="00812A8E" w:rsidRDefault="005B7602" w:rsidP="001E2046">
            <w:pPr>
              <w:rPr>
                <w:rFonts w:ascii="Arial" w:hAnsi="Arial" w:cs="Arial"/>
                <w:color w:val="000000"/>
                <w:sz w:val="20"/>
                <w:szCs w:val="20"/>
              </w:rPr>
            </w:pPr>
            <w:r w:rsidRPr="00812A8E">
              <w:rPr>
                <w:rFonts w:ascii="Arial" w:hAnsi="Arial" w:cs="Arial"/>
                <w:color w:val="000000"/>
                <w:sz w:val="20"/>
                <w:szCs w:val="20"/>
              </w:rPr>
              <w:t>Add GASB 33 language.</w:t>
            </w:r>
          </w:p>
        </w:tc>
      </w:tr>
      <w:tr w:rsidR="005B7602" w:rsidRPr="00812A8E" w14:paraId="0B56E0ED" w14:textId="77777777" w:rsidTr="005B7602">
        <w:trPr>
          <w:trHeight w:val="116"/>
        </w:trPr>
        <w:tc>
          <w:tcPr>
            <w:tcW w:w="632" w:type="pct"/>
          </w:tcPr>
          <w:p w14:paraId="0364551E" w14:textId="77777777" w:rsidR="005B7602" w:rsidRPr="00812A8E" w:rsidRDefault="005B7602" w:rsidP="001E2046">
            <w:pPr>
              <w:pStyle w:val="Heading2"/>
              <w:keepNext w:val="0"/>
              <w:rPr>
                <w:rFonts w:ascii="Arial" w:hAnsi="Arial" w:cs="Arial"/>
                <w:b w:val="0"/>
                <w:bCs w:val="0"/>
                <w:sz w:val="20"/>
                <w:szCs w:val="20"/>
              </w:rPr>
            </w:pPr>
          </w:p>
        </w:tc>
        <w:tc>
          <w:tcPr>
            <w:tcW w:w="4368" w:type="pct"/>
          </w:tcPr>
          <w:p w14:paraId="2556BB29" w14:textId="77777777" w:rsidR="005B7602" w:rsidRPr="00812A8E" w:rsidRDefault="005B7602" w:rsidP="001E2046">
            <w:pPr>
              <w:pStyle w:val="Default0"/>
              <w:rPr>
                <w:rFonts w:ascii="Arial" w:eastAsiaTheme="minorHAnsi" w:hAnsi="Arial" w:cs="Arial"/>
                <w:color w:val="auto"/>
                <w:sz w:val="20"/>
                <w:szCs w:val="20"/>
              </w:rPr>
            </w:pPr>
          </w:p>
        </w:tc>
      </w:tr>
      <w:tr w:rsidR="005B7602" w:rsidRPr="00812A8E" w14:paraId="24032D16" w14:textId="77777777" w:rsidTr="005B7602">
        <w:trPr>
          <w:trHeight w:val="116"/>
        </w:trPr>
        <w:tc>
          <w:tcPr>
            <w:tcW w:w="632" w:type="pct"/>
          </w:tcPr>
          <w:p w14:paraId="1EFF8D16" w14:textId="1EACB595" w:rsidR="005B7602" w:rsidRPr="00812A8E" w:rsidRDefault="005B7602" w:rsidP="001E2046">
            <w:pPr>
              <w:pStyle w:val="Heading2"/>
              <w:keepNext w:val="0"/>
              <w:rPr>
                <w:rFonts w:ascii="Arial" w:hAnsi="Arial" w:cs="Arial"/>
                <w:b w:val="0"/>
                <w:bCs w:val="0"/>
                <w:sz w:val="20"/>
                <w:szCs w:val="20"/>
              </w:rPr>
            </w:pPr>
            <w:r w:rsidRPr="00812A8E">
              <w:rPr>
                <w:rFonts w:ascii="Arial" w:hAnsi="Arial" w:cs="Arial"/>
                <w:b w:val="0"/>
                <w:bCs w:val="0"/>
                <w:sz w:val="20"/>
                <w:szCs w:val="20"/>
              </w:rPr>
              <w:t>191</w:t>
            </w:r>
          </w:p>
        </w:tc>
        <w:tc>
          <w:tcPr>
            <w:tcW w:w="4368" w:type="pct"/>
          </w:tcPr>
          <w:p w14:paraId="06952D9A" w14:textId="20EBD136" w:rsidR="005B7602" w:rsidRPr="00812A8E" w:rsidRDefault="005B7602" w:rsidP="001E2046">
            <w:pPr>
              <w:rPr>
                <w:rFonts w:ascii="Arial" w:hAnsi="Arial" w:cs="Arial"/>
                <w:color w:val="000000"/>
                <w:sz w:val="20"/>
                <w:szCs w:val="20"/>
              </w:rPr>
            </w:pPr>
            <w:r w:rsidRPr="00812A8E">
              <w:rPr>
                <w:rFonts w:ascii="Arial" w:hAnsi="Arial" w:cs="Arial"/>
                <w:color w:val="000000"/>
                <w:sz w:val="20"/>
                <w:szCs w:val="20"/>
              </w:rPr>
              <w:t>Not all amounts moved from one fund to another are transfers</w:t>
            </w:r>
            <w:r>
              <w:rPr>
                <w:rFonts w:ascii="Arial" w:hAnsi="Arial" w:cs="Arial"/>
                <w:color w:val="000000"/>
                <w:sz w:val="20"/>
                <w:szCs w:val="20"/>
              </w:rPr>
              <w:t>; e</w:t>
            </w:r>
            <w:r w:rsidRPr="00812A8E">
              <w:rPr>
                <w:rFonts w:ascii="Arial" w:hAnsi="Arial" w:cs="Arial"/>
                <w:color w:val="000000"/>
                <w:sz w:val="20"/>
                <w:szCs w:val="20"/>
              </w:rPr>
              <w:t>.g.</w:t>
            </w:r>
            <w:r>
              <w:rPr>
                <w:rFonts w:ascii="Arial" w:hAnsi="Arial" w:cs="Arial"/>
                <w:color w:val="000000"/>
                <w:sz w:val="20"/>
                <w:szCs w:val="20"/>
              </w:rPr>
              <w:t>,</w:t>
            </w:r>
            <w:r w:rsidRPr="00812A8E">
              <w:rPr>
                <w:rFonts w:ascii="Arial" w:hAnsi="Arial" w:cs="Arial"/>
                <w:color w:val="000000"/>
                <w:sz w:val="20"/>
                <w:szCs w:val="20"/>
              </w:rPr>
              <w:t xml:space="preserve"> reimbursements, internal service activity.</w:t>
            </w:r>
          </w:p>
        </w:tc>
      </w:tr>
      <w:tr w:rsidR="005B7602" w:rsidRPr="00812A8E" w14:paraId="0C9B683C" w14:textId="77777777" w:rsidTr="005B7602">
        <w:trPr>
          <w:trHeight w:val="116"/>
        </w:trPr>
        <w:tc>
          <w:tcPr>
            <w:tcW w:w="632" w:type="pct"/>
          </w:tcPr>
          <w:p w14:paraId="28E56B0D" w14:textId="77777777" w:rsidR="005B7602" w:rsidRPr="00812A8E" w:rsidRDefault="005B7602" w:rsidP="001E2046">
            <w:pPr>
              <w:pStyle w:val="Heading2"/>
              <w:keepNext w:val="0"/>
              <w:rPr>
                <w:rFonts w:ascii="Arial" w:hAnsi="Arial" w:cs="Arial"/>
                <w:b w:val="0"/>
                <w:bCs w:val="0"/>
                <w:sz w:val="20"/>
                <w:szCs w:val="20"/>
              </w:rPr>
            </w:pPr>
          </w:p>
        </w:tc>
        <w:tc>
          <w:tcPr>
            <w:tcW w:w="4368" w:type="pct"/>
          </w:tcPr>
          <w:p w14:paraId="71F62FF9" w14:textId="77777777" w:rsidR="005B7602" w:rsidRPr="00812A8E" w:rsidRDefault="005B7602" w:rsidP="001E2046">
            <w:pPr>
              <w:pStyle w:val="Default0"/>
              <w:rPr>
                <w:rFonts w:ascii="Arial" w:eastAsiaTheme="minorHAnsi" w:hAnsi="Arial" w:cs="Arial"/>
                <w:color w:val="auto"/>
                <w:sz w:val="20"/>
                <w:szCs w:val="20"/>
              </w:rPr>
            </w:pPr>
          </w:p>
        </w:tc>
      </w:tr>
      <w:tr w:rsidR="005B7602" w:rsidRPr="00812A8E" w14:paraId="263CFC2E" w14:textId="77777777" w:rsidTr="005B7602">
        <w:trPr>
          <w:trHeight w:val="116"/>
        </w:trPr>
        <w:tc>
          <w:tcPr>
            <w:tcW w:w="632" w:type="pct"/>
          </w:tcPr>
          <w:p w14:paraId="40FA742E" w14:textId="0F9184FE" w:rsidR="005B7602" w:rsidRPr="00812A8E" w:rsidRDefault="005B7602" w:rsidP="001E2046">
            <w:pPr>
              <w:pStyle w:val="Heading2"/>
              <w:keepNext w:val="0"/>
              <w:rPr>
                <w:rFonts w:ascii="Arial" w:hAnsi="Arial" w:cs="Arial"/>
                <w:b w:val="0"/>
                <w:bCs w:val="0"/>
                <w:sz w:val="20"/>
                <w:szCs w:val="20"/>
              </w:rPr>
            </w:pPr>
            <w:r w:rsidRPr="00812A8E">
              <w:rPr>
                <w:rFonts w:ascii="Arial" w:hAnsi="Arial" w:cs="Arial"/>
                <w:b w:val="0"/>
                <w:bCs w:val="0"/>
                <w:sz w:val="20"/>
                <w:szCs w:val="20"/>
              </w:rPr>
              <w:t>192</w:t>
            </w:r>
          </w:p>
        </w:tc>
        <w:tc>
          <w:tcPr>
            <w:tcW w:w="4368" w:type="pct"/>
          </w:tcPr>
          <w:p w14:paraId="548C5245" w14:textId="66BC8064" w:rsidR="005B7602" w:rsidRPr="00812A8E" w:rsidRDefault="005B7602" w:rsidP="001E2046">
            <w:pPr>
              <w:rPr>
                <w:rFonts w:ascii="Arial" w:hAnsi="Arial" w:cs="Arial"/>
                <w:color w:val="000000"/>
                <w:sz w:val="20"/>
                <w:szCs w:val="20"/>
              </w:rPr>
            </w:pPr>
            <w:r w:rsidRPr="00812A8E">
              <w:rPr>
                <w:rFonts w:ascii="Arial" w:hAnsi="Arial" w:cs="Arial"/>
                <w:color w:val="000000"/>
                <w:sz w:val="20"/>
                <w:szCs w:val="20"/>
              </w:rPr>
              <w:t>This definition could be improved.</w:t>
            </w:r>
          </w:p>
        </w:tc>
      </w:tr>
      <w:tr w:rsidR="005B7602" w:rsidRPr="00812A8E" w14:paraId="0538F360" w14:textId="77777777" w:rsidTr="005B7602">
        <w:trPr>
          <w:trHeight w:val="116"/>
        </w:trPr>
        <w:tc>
          <w:tcPr>
            <w:tcW w:w="632" w:type="pct"/>
          </w:tcPr>
          <w:p w14:paraId="2B16A6F4" w14:textId="1AFFCAE6" w:rsidR="005B7602" w:rsidRPr="00812A8E" w:rsidRDefault="005B7602" w:rsidP="001E2046">
            <w:pPr>
              <w:pStyle w:val="Heading2"/>
              <w:keepNext w:val="0"/>
              <w:rPr>
                <w:rFonts w:ascii="Arial" w:hAnsi="Arial" w:cs="Arial"/>
                <w:b w:val="0"/>
                <w:bCs w:val="0"/>
                <w:sz w:val="20"/>
                <w:szCs w:val="20"/>
              </w:rPr>
            </w:pPr>
          </w:p>
        </w:tc>
        <w:tc>
          <w:tcPr>
            <w:tcW w:w="4368" w:type="pct"/>
          </w:tcPr>
          <w:p w14:paraId="3525C665" w14:textId="0B19691F" w:rsidR="005B7602" w:rsidRPr="00812A8E" w:rsidRDefault="005B7602" w:rsidP="001E2046">
            <w:pPr>
              <w:pStyle w:val="Default0"/>
              <w:rPr>
                <w:rFonts w:ascii="Arial" w:eastAsiaTheme="minorHAnsi" w:hAnsi="Arial" w:cs="Arial"/>
                <w:color w:val="auto"/>
                <w:sz w:val="20"/>
                <w:szCs w:val="20"/>
              </w:rPr>
            </w:pPr>
            <w:r w:rsidRPr="00812A8E">
              <w:rPr>
                <w:rFonts w:ascii="Arial" w:hAnsi="Arial" w:cs="Arial"/>
                <w:sz w:val="20"/>
                <w:szCs w:val="20"/>
              </w:rPr>
              <w:t>Not all amounts moved from one fund to another are transfers; e.g., reimbursements, internal service activity.</w:t>
            </w:r>
          </w:p>
        </w:tc>
      </w:tr>
      <w:tr w:rsidR="005B7602" w:rsidRPr="00812A8E" w14:paraId="6DBF4E32" w14:textId="77777777" w:rsidTr="005B7602">
        <w:trPr>
          <w:trHeight w:val="116"/>
        </w:trPr>
        <w:tc>
          <w:tcPr>
            <w:tcW w:w="632" w:type="pct"/>
          </w:tcPr>
          <w:p w14:paraId="26C145B4" w14:textId="77777777" w:rsidR="005B7602" w:rsidRPr="00812A8E" w:rsidRDefault="005B7602" w:rsidP="001E2046">
            <w:pPr>
              <w:pStyle w:val="Heading2"/>
              <w:keepNext w:val="0"/>
              <w:rPr>
                <w:rFonts w:ascii="Arial" w:hAnsi="Arial" w:cs="Arial"/>
                <w:b w:val="0"/>
                <w:bCs w:val="0"/>
                <w:sz w:val="20"/>
                <w:szCs w:val="20"/>
              </w:rPr>
            </w:pPr>
          </w:p>
        </w:tc>
        <w:tc>
          <w:tcPr>
            <w:tcW w:w="4368" w:type="pct"/>
          </w:tcPr>
          <w:p w14:paraId="7A8F7D1A" w14:textId="77777777" w:rsidR="005B7602" w:rsidRPr="00812A8E" w:rsidRDefault="005B7602" w:rsidP="001E2046">
            <w:pPr>
              <w:pStyle w:val="Default0"/>
              <w:rPr>
                <w:rFonts w:ascii="Arial" w:eastAsiaTheme="minorHAnsi" w:hAnsi="Arial" w:cs="Arial"/>
                <w:color w:val="auto"/>
                <w:sz w:val="20"/>
                <w:szCs w:val="20"/>
              </w:rPr>
            </w:pPr>
          </w:p>
        </w:tc>
      </w:tr>
      <w:tr w:rsidR="005B7602" w:rsidRPr="00812A8E" w14:paraId="33B5FC1A" w14:textId="77777777" w:rsidTr="005B7602">
        <w:trPr>
          <w:trHeight w:val="116"/>
        </w:trPr>
        <w:tc>
          <w:tcPr>
            <w:tcW w:w="632" w:type="pct"/>
          </w:tcPr>
          <w:p w14:paraId="5F27C8D3" w14:textId="478DDAA7" w:rsidR="005B7602" w:rsidRPr="00812A8E" w:rsidRDefault="005B7602" w:rsidP="001E2046">
            <w:pPr>
              <w:pStyle w:val="Heading2"/>
              <w:keepNext w:val="0"/>
              <w:rPr>
                <w:rFonts w:ascii="Arial" w:hAnsi="Arial" w:cs="Arial"/>
                <w:b w:val="0"/>
                <w:bCs w:val="0"/>
                <w:sz w:val="20"/>
                <w:szCs w:val="20"/>
              </w:rPr>
            </w:pPr>
            <w:r w:rsidRPr="00812A8E">
              <w:rPr>
                <w:rFonts w:ascii="Arial" w:hAnsi="Arial" w:cs="Arial"/>
                <w:b w:val="0"/>
                <w:bCs w:val="0"/>
                <w:sz w:val="20"/>
                <w:szCs w:val="20"/>
              </w:rPr>
              <w:t>196</w:t>
            </w:r>
          </w:p>
        </w:tc>
        <w:tc>
          <w:tcPr>
            <w:tcW w:w="4368" w:type="pct"/>
          </w:tcPr>
          <w:p w14:paraId="65ACDD63" w14:textId="2B300819" w:rsidR="005B7602" w:rsidRPr="00812A8E" w:rsidRDefault="005B7602" w:rsidP="001E2046">
            <w:pPr>
              <w:pStyle w:val="Default0"/>
              <w:rPr>
                <w:rFonts w:ascii="Arial" w:eastAsiaTheme="minorHAnsi" w:hAnsi="Arial" w:cs="Arial"/>
                <w:color w:val="auto"/>
                <w:sz w:val="20"/>
                <w:szCs w:val="20"/>
              </w:rPr>
            </w:pPr>
            <w:r w:rsidRPr="00812A8E">
              <w:rPr>
                <w:rFonts w:ascii="Arial" w:eastAsiaTheme="minorHAnsi" w:hAnsi="Arial" w:cs="Arial"/>
                <w:color w:val="auto"/>
                <w:sz w:val="20"/>
                <w:szCs w:val="20"/>
              </w:rPr>
              <w:t>Consider updating the definition to read, “Amounts for which asset recognition criteria have been met, but revenue recognition criteria have not yet been met because such amounts have not yet been earned.”</w:t>
            </w:r>
          </w:p>
        </w:tc>
      </w:tr>
      <w:tr w:rsidR="005B7602" w:rsidRPr="00812A8E" w14:paraId="0B00615E" w14:textId="77777777" w:rsidTr="005B7602">
        <w:trPr>
          <w:trHeight w:val="116"/>
        </w:trPr>
        <w:tc>
          <w:tcPr>
            <w:tcW w:w="632" w:type="pct"/>
          </w:tcPr>
          <w:p w14:paraId="2512F8A8" w14:textId="6217A262" w:rsidR="005B7602" w:rsidRPr="00812A8E" w:rsidRDefault="005B7602" w:rsidP="001E2046">
            <w:pPr>
              <w:pStyle w:val="Heading2"/>
              <w:keepNext w:val="0"/>
              <w:rPr>
                <w:rFonts w:ascii="Arial" w:hAnsi="Arial" w:cs="Arial"/>
                <w:b w:val="0"/>
                <w:bCs w:val="0"/>
                <w:sz w:val="20"/>
                <w:szCs w:val="20"/>
              </w:rPr>
            </w:pPr>
          </w:p>
        </w:tc>
        <w:tc>
          <w:tcPr>
            <w:tcW w:w="4368" w:type="pct"/>
          </w:tcPr>
          <w:p w14:paraId="402FF615" w14:textId="6A6C0C43" w:rsidR="005B7602" w:rsidRPr="00812A8E" w:rsidRDefault="005B7602" w:rsidP="001E2046">
            <w:pPr>
              <w:pStyle w:val="Default0"/>
              <w:rPr>
                <w:rFonts w:ascii="Arial" w:eastAsiaTheme="minorHAnsi" w:hAnsi="Arial" w:cs="Arial"/>
                <w:color w:val="auto"/>
                <w:sz w:val="20"/>
                <w:szCs w:val="20"/>
              </w:rPr>
            </w:pPr>
            <w:r w:rsidRPr="00812A8E">
              <w:rPr>
                <w:rFonts w:ascii="Arial" w:eastAsiaTheme="minorHAnsi" w:hAnsi="Arial" w:cs="Arial"/>
                <w:color w:val="auto"/>
                <w:sz w:val="20"/>
                <w:szCs w:val="20"/>
              </w:rPr>
              <w:t>Advance payments would only be treated as a liability if the money had to be returned.  Also, interfund loans are categorized as advances.</w:t>
            </w:r>
          </w:p>
        </w:tc>
      </w:tr>
    </w:tbl>
    <w:p w14:paraId="3E57C8C9" w14:textId="77777777" w:rsidR="0016468A" w:rsidRPr="00C844B4" w:rsidRDefault="0016468A" w:rsidP="0016468A">
      <w:pPr>
        <w:rPr>
          <w:rFonts w:ascii="Arial" w:hAnsi="Arial" w:cs="Arial"/>
          <w:sz w:val="21"/>
          <w:szCs w:val="21"/>
        </w:rPr>
      </w:pPr>
    </w:p>
    <w:sectPr w:rsidR="0016468A" w:rsidRPr="00C844B4" w:rsidSect="00C2049F">
      <w:footerReference w:type="default" r:id="rId14"/>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8B1E71" w14:textId="77777777" w:rsidR="00D03FD3" w:rsidRDefault="00D03FD3">
      <w:r>
        <w:separator/>
      </w:r>
    </w:p>
  </w:endnote>
  <w:endnote w:type="continuationSeparator" w:id="0">
    <w:p w14:paraId="22B81683" w14:textId="77777777" w:rsidR="00D03FD3" w:rsidRDefault="00D03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2D18E" w14:textId="77777777" w:rsidR="00D03FD3" w:rsidRDefault="00D03FD3">
    <w:pPr>
      <w:pStyle w:val="Footer"/>
      <w:jc w:val="center"/>
      <w:rPr>
        <w:rFonts w:ascii="Arial" w:hAnsi="Arial" w:cs="Arial"/>
        <w:sz w:val="20"/>
        <w:szCs w:val="20"/>
      </w:rPr>
    </w:pPr>
  </w:p>
  <w:p w14:paraId="59080FC4" w14:textId="0F03B5DB" w:rsidR="00D03FD3" w:rsidRPr="00812A8E" w:rsidRDefault="00D03FD3" w:rsidP="00812A8E">
    <w:pPr>
      <w:pStyle w:val="Footer"/>
      <w:tabs>
        <w:tab w:val="clear" w:pos="4320"/>
        <w:tab w:val="clear" w:pos="8640"/>
        <w:tab w:val="center" w:pos="5400"/>
        <w:tab w:val="right" w:pos="10800"/>
      </w:tabs>
      <w:rPr>
        <w:rFonts w:ascii="Arial" w:hAnsi="Arial" w:cs="Arial"/>
        <w:sz w:val="18"/>
        <w:szCs w:val="18"/>
      </w:rPr>
    </w:pPr>
    <w:r w:rsidRPr="00812A8E">
      <w:rPr>
        <w:rFonts w:ascii="Arial" w:hAnsi="Arial" w:cs="Arial"/>
        <w:sz w:val="18"/>
        <w:szCs w:val="18"/>
      </w:rPr>
      <w:t>3-19-19</w:t>
    </w:r>
    <w:r w:rsidRPr="00812A8E">
      <w:rPr>
        <w:rFonts w:ascii="Arial" w:hAnsi="Arial" w:cs="Arial"/>
        <w:sz w:val="18"/>
        <w:szCs w:val="18"/>
      </w:rPr>
      <w:tab/>
      <w:t xml:space="preserve">Page </w:t>
    </w:r>
    <w:r w:rsidRPr="00812A8E">
      <w:rPr>
        <w:rStyle w:val="PageNumber"/>
        <w:rFonts w:ascii="Arial" w:hAnsi="Arial" w:cs="Arial"/>
        <w:sz w:val="18"/>
        <w:szCs w:val="18"/>
      </w:rPr>
      <w:fldChar w:fldCharType="begin"/>
    </w:r>
    <w:r w:rsidRPr="00812A8E">
      <w:rPr>
        <w:rStyle w:val="PageNumber"/>
        <w:rFonts w:ascii="Arial" w:hAnsi="Arial" w:cs="Arial"/>
        <w:sz w:val="18"/>
        <w:szCs w:val="18"/>
      </w:rPr>
      <w:instrText xml:space="preserve"> PAGE </w:instrText>
    </w:r>
    <w:r w:rsidRPr="00812A8E">
      <w:rPr>
        <w:rStyle w:val="PageNumber"/>
        <w:rFonts w:ascii="Arial" w:hAnsi="Arial" w:cs="Arial"/>
        <w:sz w:val="18"/>
        <w:szCs w:val="18"/>
      </w:rPr>
      <w:fldChar w:fldCharType="separate"/>
    </w:r>
    <w:r w:rsidRPr="00812A8E">
      <w:rPr>
        <w:rStyle w:val="PageNumber"/>
        <w:rFonts w:ascii="Arial" w:hAnsi="Arial" w:cs="Arial"/>
        <w:noProof/>
        <w:sz w:val="18"/>
        <w:szCs w:val="18"/>
      </w:rPr>
      <w:t>32</w:t>
    </w:r>
    <w:r w:rsidRPr="00812A8E">
      <w:rPr>
        <w:rStyle w:val="PageNumbe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96EFDA" w14:textId="77777777" w:rsidR="00D03FD3" w:rsidRDefault="00D03FD3">
      <w:r>
        <w:separator/>
      </w:r>
    </w:p>
  </w:footnote>
  <w:footnote w:type="continuationSeparator" w:id="0">
    <w:p w14:paraId="2C6EFECE" w14:textId="77777777" w:rsidR="00D03FD3" w:rsidRDefault="00D03F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54D6E870"/>
    <w:lvl w:ilvl="0">
      <w:start w:val="1"/>
      <w:numFmt w:val="decimal"/>
      <w:pStyle w:val="ListNumber"/>
      <w:lvlText w:val="%1."/>
      <w:lvlJc w:val="left"/>
      <w:pPr>
        <w:tabs>
          <w:tab w:val="num" w:pos="360"/>
        </w:tabs>
        <w:ind w:left="360" w:hanging="360"/>
      </w:pPr>
    </w:lvl>
  </w:abstractNum>
  <w:abstractNum w:abstractNumId="1" w15:restartNumberingAfterBreak="0">
    <w:nsid w:val="00000001"/>
    <w:multiLevelType w:val="multilevel"/>
    <w:tmpl w:val="00000000"/>
    <w:lvl w:ilvl="0">
      <w:start w:val="1"/>
      <w:numFmt w:val="decimal"/>
      <w:pStyle w:val="Level1"/>
      <w:lvlText w:val="%1."/>
      <w:lvlJc w:val="left"/>
      <w:pPr>
        <w:tabs>
          <w:tab w:val="num" w:pos="720"/>
        </w:tabs>
        <w:ind w:left="720" w:hanging="720"/>
      </w:pPr>
      <w:rPr>
        <w:rFonts w:ascii="Arial" w:hAnsi="Arial"/>
        <w:b/>
        <w:sz w:val="1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7351C80"/>
    <w:multiLevelType w:val="hybridMultilevel"/>
    <w:tmpl w:val="FF1A420C"/>
    <w:lvl w:ilvl="0" w:tplc="17D24FE8">
      <w:start w:val="1"/>
      <w:numFmt w:val="bullet"/>
      <w:lvlText w:val=""/>
      <w:lvlJc w:val="left"/>
      <w:pPr>
        <w:ind w:left="912" w:hanging="360"/>
      </w:pPr>
      <w:rPr>
        <w:rFonts w:ascii="Symbol" w:eastAsia="Symbol" w:hAnsi="Symbol" w:hint="default"/>
        <w:sz w:val="22"/>
        <w:szCs w:val="22"/>
      </w:rPr>
    </w:lvl>
    <w:lvl w:ilvl="1" w:tplc="DAB6186C">
      <w:start w:val="1"/>
      <w:numFmt w:val="bullet"/>
      <w:lvlText w:val="•"/>
      <w:lvlJc w:val="left"/>
      <w:pPr>
        <w:ind w:left="1877" w:hanging="360"/>
      </w:pPr>
      <w:rPr>
        <w:rFonts w:hint="default"/>
      </w:rPr>
    </w:lvl>
    <w:lvl w:ilvl="2" w:tplc="56CAE0FE">
      <w:start w:val="1"/>
      <w:numFmt w:val="bullet"/>
      <w:lvlText w:val="•"/>
      <w:lvlJc w:val="left"/>
      <w:pPr>
        <w:ind w:left="2842" w:hanging="360"/>
      </w:pPr>
      <w:rPr>
        <w:rFonts w:hint="default"/>
      </w:rPr>
    </w:lvl>
    <w:lvl w:ilvl="3" w:tplc="069E21F4">
      <w:start w:val="1"/>
      <w:numFmt w:val="bullet"/>
      <w:lvlText w:val="•"/>
      <w:lvlJc w:val="left"/>
      <w:pPr>
        <w:ind w:left="3806" w:hanging="360"/>
      </w:pPr>
      <w:rPr>
        <w:rFonts w:hint="default"/>
      </w:rPr>
    </w:lvl>
    <w:lvl w:ilvl="4" w:tplc="0D224232">
      <w:start w:val="1"/>
      <w:numFmt w:val="bullet"/>
      <w:lvlText w:val="•"/>
      <w:lvlJc w:val="left"/>
      <w:pPr>
        <w:ind w:left="4771" w:hanging="360"/>
      </w:pPr>
      <w:rPr>
        <w:rFonts w:hint="default"/>
      </w:rPr>
    </w:lvl>
    <w:lvl w:ilvl="5" w:tplc="E8467BF4">
      <w:start w:val="1"/>
      <w:numFmt w:val="bullet"/>
      <w:lvlText w:val="•"/>
      <w:lvlJc w:val="left"/>
      <w:pPr>
        <w:ind w:left="5736" w:hanging="360"/>
      </w:pPr>
      <w:rPr>
        <w:rFonts w:hint="default"/>
      </w:rPr>
    </w:lvl>
    <w:lvl w:ilvl="6" w:tplc="E5A44BF8">
      <w:start w:val="1"/>
      <w:numFmt w:val="bullet"/>
      <w:lvlText w:val="•"/>
      <w:lvlJc w:val="left"/>
      <w:pPr>
        <w:ind w:left="6701" w:hanging="360"/>
      </w:pPr>
      <w:rPr>
        <w:rFonts w:hint="default"/>
      </w:rPr>
    </w:lvl>
    <w:lvl w:ilvl="7" w:tplc="BA4A5D62">
      <w:start w:val="1"/>
      <w:numFmt w:val="bullet"/>
      <w:lvlText w:val="•"/>
      <w:lvlJc w:val="left"/>
      <w:pPr>
        <w:ind w:left="7665" w:hanging="360"/>
      </w:pPr>
      <w:rPr>
        <w:rFonts w:hint="default"/>
      </w:rPr>
    </w:lvl>
    <w:lvl w:ilvl="8" w:tplc="D66A20BC">
      <w:start w:val="1"/>
      <w:numFmt w:val="bullet"/>
      <w:lvlText w:val="•"/>
      <w:lvlJc w:val="left"/>
      <w:pPr>
        <w:ind w:left="8630" w:hanging="360"/>
      </w:pPr>
      <w:rPr>
        <w:rFonts w:hint="default"/>
      </w:rPr>
    </w:lvl>
  </w:abstractNum>
  <w:abstractNum w:abstractNumId="3" w15:restartNumberingAfterBreak="0">
    <w:nsid w:val="0B1C7134"/>
    <w:multiLevelType w:val="hybridMultilevel"/>
    <w:tmpl w:val="3C341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D21615"/>
    <w:multiLevelType w:val="hybridMultilevel"/>
    <w:tmpl w:val="32D0DE54"/>
    <w:lvl w:ilvl="0" w:tplc="D32276BA">
      <w:start w:val="1"/>
      <w:numFmt w:val="decimal"/>
      <w:lvlText w:val="%1."/>
      <w:lvlJc w:val="left"/>
      <w:pPr>
        <w:ind w:left="1366" w:hanging="346"/>
        <w:jc w:val="right"/>
      </w:pPr>
      <w:rPr>
        <w:rFonts w:ascii="Arial" w:eastAsia="Times New Roman" w:hAnsi="Arial" w:cs="Arial" w:hint="default"/>
        <w:color w:val="1D1A1C"/>
        <w:w w:val="109"/>
        <w:sz w:val="21"/>
        <w:szCs w:val="21"/>
      </w:rPr>
    </w:lvl>
    <w:lvl w:ilvl="1" w:tplc="8D38FF12">
      <w:start w:val="1"/>
      <w:numFmt w:val="bullet"/>
      <w:lvlText w:val="•"/>
      <w:lvlJc w:val="left"/>
      <w:pPr>
        <w:ind w:left="2365" w:hanging="346"/>
      </w:pPr>
      <w:rPr>
        <w:rFonts w:hint="default"/>
      </w:rPr>
    </w:lvl>
    <w:lvl w:ilvl="2" w:tplc="D9A2A784">
      <w:start w:val="1"/>
      <w:numFmt w:val="bullet"/>
      <w:lvlText w:val="•"/>
      <w:lvlJc w:val="left"/>
      <w:pPr>
        <w:ind w:left="3365" w:hanging="346"/>
      </w:pPr>
      <w:rPr>
        <w:rFonts w:hint="default"/>
      </w:rPr>
    </w:lvl>
    <w:lvl w:ilvl="3" w:tplc="F2101560">
      <w:start w:val="1"/>
      <w:numFmt w:val="bullet"/>
      <w:lvlText w:val="•"/>
      <w:lvlJc w:val="left"/>
      <w:pPr>
        <w:ind w:left="4364" w:hanging="346"/>
      </w:pPr>
      <w:rPr>
        <w:rFonts w:hint="default"/>
      </w:rPr>
    </w:lvl>
    <w:lvl w:ilvl="4" w:tplc="5D388950">
      <w:start w:val="1"/>
      <w:numFmt w:val="bullet"/>
      <w:lvlText w:val="•"/>
      <w:lvlJc w:val="left"/>
      <w:pPr>
        <w:ind w:left="5363" w:hanging="346"/>
      </w:pPr>
      <w:rPr>
        <w:rFonts w:hint="default"/>
      </w:rPr>
    </w:lvl>
    <w:lvl w:ilvl="5" w:tplc="353CBEE6">
      <w:start w:val="1"/>
      <w:numFmt w:val="bullet"/>
      <w:lvlText w:val="•"/>
      <w:lvlJc w:val="left"/>
      <w:pPr>
        <w:ind w:left="6363" w:hanging="346"/>
      </w:pPr>
      <w:rPr>
        <w:rFonts w:hint="default"/>
      </w:rPr>
    </w:lvl>
    <w:lvl w:ilvl="6" w:tplc="2DD81C7C">
      <w:start w:val="1"/>
      <w:numFmt w:val="bullet"/>
      <w:lvlText w:val="•"/>
      <w:lvlJc w:val="left"/>
      <w:pPr>
        <w:ind w:left="7362" w:hanging="346"/>
      </w:pPr>
      <w:rPr>
        <w:rFonts w:hint="default"/>
      </w:rPr>
    </w:lvl>
    <w:lvl w:ilvl="7" w:tplc="1CCC0A62">
      <w:start w:val="1"/>
      <w:numFmt w:val="bullet"/>
      <w:lvlText w:val="•"/>
      <w:lvlJc w:val="left"/>
      <w:pPr>
        <w:ind w:left="8361" w:hanging="346"/>
      </w:pPr>
      <w:rPr>
        <w:rFonts w:hint="default"/>
      </w:rPr>
    </w:lvl>
    <w:lvl w:ilvl="8" w:tplc="C4801E80">
      <w:start w:val="1"/>
      <w:numFmt w:val="bullet"/>
      <w:lvlText w:val="•"/>
      <w:lvlJc w:val="left"/>
      <w:pPr>
        <w:ind w:left="9361" w:hanging="346"/>
      </w:pPr>
      <w:rPr>
        <w:rFonts w:hint="default"/>
      </w:rPr>
    </w:lvl>
  </w:abstractNum>
  <w:abstractNum w:abstractNumId="5" w15:restartNumberingAfterBreak="0">
    <w:nsid w:val="132F2CEA"/>
    <w:multiLevelType w:val="hybridMultilevel"/>
    <w:tmpl w:val="9A764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443BC6"/>
    <w:multiLevelType w:val="hybridMultilevel"/>
    <w:tmpl w:val="32D0DE54"/>
    <w:lvl w:ilvl="0" w:tplc="D32276BA">
      <w:start w:val="1"/>
      <w:numFmt w:val="decimal"/>
      <w:lvlText w:val="%1."/>
      <w:lvlJc w:val="left"/>
      <w:pPr>
        <w:ind w:left="1366" w:hanging="346"/>
        <w:jc w:val="right"/>
      </w:pPr>
      <w:rPr>
        <w:rFonts w:ascii="Arial" w:eastAsia="Times New Roman" w:hAnsi="Arial" w:cs="Arial" w:hint="default"/>
        <w:color w:val="1D1A1C"/>
        <w:w w:val="109"/>
        <w:sz w:val="21"/>
        <w:szCs w:val="21"/>
      </w:rPr>
    </w:lvl>
    <w:lvl w:ilvl="1" w:tplc="8D38FF12">
      <w:start w:val="1"/>
      <w:numFmt w:val="bullet"/>
      <w:lvlText w:val="•"/>
      <w:lvlJc w:val="left"/>
      <w:pPr>
        <w:ind w:left="2365" w:hanging="346"/>
      </w:pPr>
      <w:rPr>
        <w:rFonts w:hint="default"/>
      </w:rPr>
    </w:lvl>
    <w:lvl w:ilvl="2" w:tplc="D9A2A784">
      <w:start w:val="1"/>
      <w:numFmt w:val="bullet"/>
      <w:lvlText w:val="•"/>
      <w:lvlJc w:val="left"/>
      <w:pPr>
        <w:ind w:left="3365" w:hanging="346"/>
      </w:pPr>
      <w:rPr>
        <w:rFonts w:hint="default"/>
      </w:rPr>
    </w:lvl>
    <w:lvl w:ilvl="3" w:tplc="F2101560">
      <w:start w:val="1"/>
      <w:numFmt w:val="bullet"/>
      <w:lvlText w:val="•"/>
      <w:lvlJc w:val="left"/>
      <w:pPr>
        <w:ind w:left="4364" w:hanging="346"/>
      </w:pPr>
      <w:rPr>
        <w:rFonts w:hint="default"/>
      </w:rPr>
    </w:lvl>
    <w:lvl w:ilvl="4" w:tplc="5D388950">
      <w:start w:val="1"/>
      <w:numFmt w:val="bullet"/>
      <w:lvlText w:val="•"/>
      <w:lvlJc w:val="left"/>
      <w:pPr>
        <w:ind w:left="5363" w:hanging="346"/>
      </w:pPr>
      <w:rPr>
        <w:rFonts w:hint="default"/>
      </w:rPr>
    </w:lvl>
    <w:lvl w:ilvl="5" w:tplc="353CBEE6">
      <w:start w:val="1"/>
      <w:numFmt w:val="bullet"/>
      <w:lvlText w:val="•"/>
      <w:lvlJc w:val="left"/>
      <w:pPr>
        <w:ind w:left="6363" w:hanging="346"/>
      </w:pPr>
      <w:rPr>
        <w:rFonts w:hint="default"/>
      </w:rPr>
    </w:lvl>
    <w:lvl w:ilvl="6" w:tplc="2DD81C7C">
      <w:start w:val="1"/>
      <w:numFmt w:val="bullet"/>
      <w:lvlText w:val="•"/>
      <w:lvlJc w:val="left"/>
      <w:pPr>
        <w:ind w:left="7362" w:hanging="346"/>
      </w:pPr>
      <w:rPr>
        <w:rFonts w:hint="default"/>
      </w:rPr>
    </w:lvl>
    <w:lvl w:ilvl="7" w:tplc="1CCC0A62">
      <w:start w:val="1"/>
      <w:numFmt w:val="bullet"/>
      <w:lvlText w:val="•"/>
      <w:lvlJc w:val="left"/>
      <w:pPr>
        <w:ind w:left="8361" w:hanging="346"/>
      </w:pPr>
      <w:rPr>
        <w:rFonts w:hint="default"/>
      </w:rPr>
    </w:lvl>
    <w:lvl w:ilvl="8" w:tplc="C4801E80">
      <w:start w:val="1"/>
      <w:numFmt w:val="bullet"/>
      <w:lvlText w:val="•"/>
      <w:lvlJc w:val="left"/>
      <w:pPr>
        <w:ind w:left="9361" w:hanging="346"/>
      </w:pPr>
      <w:rPr>
        <w:rFonts w:hint="default"/>
      </w:rPr>
    </w:lvl>
  </w:abstractNum>
  <w:abstractNum w:abstractNumId="7" w15:restartNumberingAfterBreak="0">
    <w:nsid w:val="15A2229F"/>
    <w:multiLevelType w:val="hybridMultilevel"/>
    <w:tmpl w:val="4A6A13C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16CD5D70"/>
    <w:multiLevelType w:val="hybridMultilevel"/>
    <w:tmpl w:val="C4F2296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82905DD"/>
    <w:multiLevelType w:val="hybridMultilevel"/>
    <w:tmpl w:val="7DBAE8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A63164"/>
    <w:multiLevelType w:val="hybridMultilevel"/>
    <w:tmpl w:val="093A3AC6"/>
    <w:lvl w:ilvl="0" w:tplc="4A0657E4">
      <w:start w:val="1"/>
      <w:numFmt w:val="bullet"/>
      <w:lvlText w:val="•"/>
      <w:lvlJc w:val="left"/>
      <w:pPr>
        <w:ind w:left="1492" w:hanging="352"/>
      </w:pPr>
      <w:rPr>
        <w:rFonts w:ascii="Times New Roman" w:eastAsia="Times New Roman" w:hAnsi="Times New Roman" w:hint="default"/>
        <w:w w:val="151"/>
        <w:sz w:val="21"/>
        <w:szCs w:val="21"/>
      </w:rPr>
    </w:lvl>
    <w:lvl w:ilvl="1" w:tplc="4DC02CEE">
      <w:start w:val="1"/>
      <w:numFmt w:val="bullet"/>
      <w:lvlText w:val="•"/>
      <w:lvlJc w:val="left"/>
      <w:pPr>
        <w:ind w:left="2511" w:hanging="352"/>
      </w:pPr>
      <w:rPr>
        <w:rFonts w:hint="default"/>
      </w:rPr>
    </w:lvl>
    <w:lvl w:ilvl="2" w:tplc="EFEAA8A6">
      <w:start w:val="1"/>
      <w:numFmt w:val="bullet"/>
      <w:lvlText w:val="•"/>
      <w:lvlJc w:val="left"/>
      <w:pPr>
        <w:ind w:left="3530" w:hanging="352"/>
      </w:pPr>
      <w:rPr>
        <w:rFonts w:hint="default"/>
      </w:rPr>
    </w:lvl>
    <w:lvl w:ilvl="3" w:tplc="74041C10">
      <w:start w:val="1"/>
      <w:numFmt w:val="bullet"/>
      <w:lvlText w:val="•"/>
      <w:lvlJc w:val="left"/>
      <w:pPr>
        <w:ind w:left="4550" w:hanging="352"/>
      </w:pPr>
      <w:rPr>
        <w:rFonts w:hint="default"/>
      </w:rPr>
    </w:lvl>
    <w:lvl w:ilvl="4" w:tplc="011005B0">
      <w:start w:val="1"/>
      <w:numFmt w:val="bullet"/>
      <w:lvlText w:val="•"/>
      <w:lvlJc w:val="left"/>
      <w:pPr>
        <w:ind w:left="5569" w:hanging="352"/>
      </w:pPr>
      <w:rPr>
        <w:rFonts w:hint="default"/>
      </w:rPr>
    </w:lvl>
    <w:lvl w:ilvl="5" w:tplc="AD981B3C">
      <w:start w:val="1"/>
      <w:numFmt w:val="bullet"/>
      <w:lvlText w:val="•"/>
      <w:lvlJc w:val="left"/>
      <w:pPr>
        <w:ind w:left="6588" w:hanging="352"/>
      </w:pPr>
      <w:rPr>
        <w:rFonts w:hint="default"/>
      </w:rPr>
    </w:lvl>
    <w:lvl w:ilvl="6" w:tplc="344A4B70">
      <w:start w:val="1"/>
      <w:numFmt w:val="bullet"/>
      <w:lvlText w:val="•"/>
      <w:lvlJc w:val="left"/>
      <w:pPr>
        <w:ind w:left="7608" w:hanging="352"/>
      </w:pPr>
      <w:rPr>
        <w:rFonts w:hint="default"/>
      </w:rPr>
    </w:lvl>
    <w:lvl w:ilvl="7" w:tplc="82DC9532">
      <w:start w:val="1"/>
      <w:numFmt w:val="bullet"/>
      <w:lvlText w:val="•"/>
      <w:lvlJc w:val="left"/>
      <w:pPr>
        <w:ind w:left="8627" w:hanging="352"/>
      </w:pPr>
      <w:rPr>
        <w:rFonts w:hint="default"/>
      </w:rPr>
    </w:lvl>
    <w:lvl w:ilvl="8" w:tplc="4446AD64">
      <w:start w:val="1"/>
      <w:numFmt w:val="bullet"/>
      <w:lvlText w:val="•"/>
      <w:lvlJc w:val="left"/>
      <w:pPr>
        <w:ind w:left="9646" w:hanging="352"/>
      </w:pPr>
      <w:rPr>
        <w:rFonts w:hint="default"/>
      </w:rPr>
    </w:lvl>
  </w:abstractNum>
  <w:abstractNum w:abstractNumId="11" w15:restartNumberingAfterBreak="0">
    <w:nsid w:val="255A196C"/>
    <w:multiLevelType w:val="hybridMultilevel"/>
    <w:tmpl w:val="9BDCB0FE"/>
    <w:lvl w:ilvl="0" w:tplc="A86E04F4">
      <w:start w:val="1"/>
      <w:numFmt w:val="decimal"/>
      <w:lvlText w:val="%1."/>
      <w:lvlJc w:val="left"/>
      <w:pPr>
        <w:ind w:hanging="360"/>
      </w:pPr>
      <w:rPr>
        <w:rFonts w:ascii="Arial" w:eastAsia="Times New Roman" w:hAnsi="Arial" w:cs="Arial"/>
        <w:sz w:val="22"/>
        <w:szCs w:val="22"/>
      </w:rPr>
    </w:lvl>
    <w:lvl w:ilvl="1" w:tplc="86E47348">
      <w:start w:val="1"/>
      <w:numFmt w:val="bullet"/>
      <w:lvlText w:val="•"/>
      <w:lvlJc w:val="left"/>
      <w:rPr>
        <w:rFonts w:hint="default"/>
      </w:rPr>
    </w:lvl>
    <w:lvl w:ilvl="2" w:tplc="EB9C600A">
      <w:start w:val="1"/>
      <w:numFmt w:val="bullet"/>
      <w:lvlText w:val="•"/>
      <w:lvlJc w:val="left"/>
      <w:rPr>
        <w:rFonts w:hint="default"/>
      </w:rPr>
    </w:lvl>
    <w:lvl w:ilvl="3" w:tplc="D26CFCC8">
      <w:start w:val="1"/>
      <w:numFmt w:val="bullet"/>
      <w:lvlText w:val="•"/>
      <w:lvlJc w:val="left"/>
      <w:rPr>
        <w:rFonts w:hint="default"/>
      </w:rPr>
    </w:lvl>
    <w:lvl w:ilvl="4" w:tplc="34A89052">
      <w:start w:val="1"/>
      <w:numFmt w:val="bullet"/>
      <w:lvlText w:val="•"/>
      <w:lvlJc w:val="left"/>
      <w:rPr>
        <w:rFonts w:hint="default"/>
      </w:rPr>
    </w:lvl>
    <w:lvl w:ilvl="5" w:tplc="30B04444">
      <w:start w:val="1"/>
      <w:numFmt w:val="bullet"/>
      <w:lvlText w:val="•"/>
      <w:lvlJc w:val="left"/>
      <w:rPr>
        <w:rFonts w:hint="default"/>
      </w:rPr>
    </w:lvl>
    <w:lvl w:ilvl="6" w:tplc="7B283B4A">
      <w:start w:val="1"/>
      <w:numFmt w:val="bullet"/>
      <w:lvlText w:val="•"/>
      <w:lvlJc w:val="left"/>
      <w:rPr>
        <w:rFonts w:hint="default"/>
      </w:rPr>
    </w:lvl>
    <w:lvl w:ilvl="7" w:tplc="FA8EC5A8">
      <w:start w:val="1"/>
      <w:numFmt w:val="bullet"/>
      <w:lvlText w:val="•"/>
      <w:lvlJc w:val="left"/>
      <w:rPr>
        <w:rFonts w:hint="default"/>
      </w:rPr>
    </w:lvl>
    <w:lvl w:ilvl="8" w:tplc="4790DED4">
      <w:start w:val="1"/>
      <w:numFmt w:val="bullet"/>
      <w:lvlText w:val="•"/>
      <w:lvlJc w:val="left"/>
      <w:rPr>
        <w:rFonts w:hint="default"/>
      </w:rPr>
    </w:lvl>
  </w:abstractNum>
  <w:abstractNum w:abstractNumId="12" w15:restartNumberingAfterBreak="0">
    <w:nsid w:val="26CC1B53"/>
    <w:multiLevelType w:val="hybridMultilevel"/>
    <w:tmpl w:val="E8267AF6"/>
    <w:lvl w:ilvl="0" w:tplc="BE4274C6">
      <w:start w:val="1"/>
      <w:numFmt w:val="bullet"/>
      <w:lvlText w:val=""/>
      <w:lvlJc w:val="left"/>
      <w:pPr>
        <w:ind w:left="652" w:hanging="360"/>
      </w:pPr>
      <w:rPr>
        <w:rFonts w:ascii="Symbol" w:eastAsia="Symbol" w:hAnsi="Symbol" w:hint="default"/>
        <w:sz w:val="22"/>
        <w:szCs w:val="22"/>
      </w:rPr>
    </w:lvl>
    <w:lvl w:ilvl="1" w:tplc="412A3C76">
      <w:start w:val="1"/>
      <w:numFmt w:val="bullet"/>
      <w:lvlText w:val="•"/>
      <w:lvlJc w:val="left"/>
      <w:pPr>
        <w:ind w:left="1593" w:hanging="360"/>
      </w:pPr>
      <w:rPr>
        <w:rFonts w:hint="default"/>
      </w:rPr>
    </w:lvl>
    <w:lvl w:ilvl="2" w:tplc="E11223E6">
      <w:start w:val="1"/>
      <w:numFmt w:val="bullet"/>
      <w:lvlText w:val="•"/>
      <w:lvlJc w:val="left"/>
      <w:pPr>
        <w:ind w:left="2534" w:hanging="360"/>
      </w:pPr>
      <w:rPr>
        <w:rFonts w:hint="default"/>
      </w:rPr>
    </w:lvl>
    <w:lvl w:ilvl="3" w:tplc="7D280744">
      <w:start w:val="1"/>
      <w:numFmt w:val="bullet"/>
      <w:lvlText w:val="•"/>
      <w:lvlJc w:val="left"/>
      <w:pPr>
        <w:ind w:left="3474" w:hanging="360"/>
      </w:pPr>
      <w:rPr>
        <w:rFonts w:hint="default"/>
      </w:rPr>
    </w:lvl>
    <w:lvl w:ilvl="4" w:tplc="19563B12">
      <w:start w:val="1"/>
      <w:numFmt w:val="bullet"/>
      <w:lvlText w:val="•"/>
      <w:lvlJc w:val="left"/>
      <w:pPr>
        <w:ind w:left="4415" w:hanging="360"/>
      </w:pPr>
      <w:rPr>
        <w:rFonts w:hint="default"/>
      </w:rPr>
    </w:lvl>
    <w:lvl w:ilvl="5" w:tplc="81147E7A">
      <w:start w:val="1"/>
      <w:numFmt w:val="bullet"/>
      <w:lvlText w:val="•"/>
      <w:lvlJc w:val="left"/>
      <w:pPr>
        <w:ind w:left="5356" w:hanging="360"/>
      </w:pPr>
      <w:rPr>
        <w:rFonts w:hint="default"/>
      </w:rPr>
    </w:lvl>
    <w:lvl w:ilvl="6" w:tplc="9144486E">
      <w:start w:val="1"/>
      <w:numFmt w:val="bullet"/>
      <w:lvlText w:val="•"/>
      <w:lvlJc w:val="left"/>
      <w:pPr>
        <w:ind w:left="6297" w:hanging="360"/>
      </w:pPr>
      <w:rPr>
        <w:rFonts w:hint="default"/>
      </w:rPr>
    </w:lvl>
    <w:lvl w:ilvl="7" w:tplc="16983A5A">
      <w:start w:val="1"/>
      <w:numFmt w:val="bullet"/>
      <w:lvlText w:val="•"/>
      <w:lvlJc w:val="left"/>
      <w:pPr>
        <w:ind w:left="7237" w:hanging="360"/>
      </w:pPr>
      <w:rPr>
        <w:rFonts w:hint="default"/>
      </w:rPr>
    </w:lvl>
    <w:lvl w:ilvl="8" w:tplc="1F904FD4">
      <w:start w:val="1"/>
      <w:numFmt w:val="bullet"/>
      <w:lvlText w:val="•"/>
      <w:lvlJc w:val="left"/>
      <w:pPr>
        <w:ind w:left="8178" w:hanging="360"/>
      </w:pPr>
      <w:rPr>
        <w:rFonts w:hint="default"/>
      </w:rPr>
    </w:lvl>
  </w:abstractNum>
  <w:abstractNum w:abstractNumId="13" w15:restartNumberingAfterBreak="0">
    <w:nsid w:val="2CD178F0"/>
    <w:multiLevelType w:val="hybridMultilevel"/>
    <w:tmpl w:val="17348AC2"/>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8500D5"/>
    <w:multiLevelType w:val="hybridMultilevel"/>
    <w:tmpl w:val="1F8ECC8E"/>
    <w:lvl w:ilvl="0" w:tplc="0409000F">
      <w:start w:val="1"/>
      <w:numFmt w:val="decimal"/>
      <w:lvlText w:val="%1."/>
      <w:lvlJc w:val="left"/>
      <w:pPr>
        <w:ind w:left="700" w:hanging="360"/>
      </w:p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5" w15:restartNumberingAfterBreak="0">
    <w:nsid w:val="3EB743C6"/>
    <w:multiLevelType w:val="hybridMultilevel"/>
    <w:tmpl w:val="95C2C9FC"/>
    <w:lvl w:ilvl="0" w:tplc="543CED8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43DF79A3"/>
    <w:multiLevelType w:val="hybridMultilevel"/>
    <w:tmpl w:val="6410548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47C62E72"/>
    <w:multiLevelType w:val="hybridMultilevel"/>
    <w:tmpl w:val="B662716A"/>
    <w:lvl w:ilvl="0" w:tplc="4BC89BEE">
      <w:start w:val="1"/>
      <w:numFmt w:val="decimal"/>
      <w:lvlText w:val="%1."/>
      <w:lvlJc w:val="left"/>
      <w:pPr>
        <w:ind w:left="837" w:hanging="360"/>
      </w:pPr>
      <w:rPr>
        <w:rFonts w:ascii="Arial" w:eastAsia="Calibri" w:hAnsi="Arial" w:cs="Arial" w:hint="default"/>
        <w:w w:val="99"/>
        <w:sz w:val="21"/>
        <w:szCs w:val="21"/>
      </w:rPr>
    </w:lvl>
    <w:lvl w:ilvl="1" w:tplc="73E80538">
      <w:start w:val="1"/>
      <w:numFmt w:val="bullet"/>
      <w:lvlText w:val="•"/>
      <w:lvlJc w:val="left"/>
      <w:pPr>
        <w:ind w:left="1699" w:hanging="360"/>
      </w:pPr>
      <w:rPr>
        <w:rFonts w:hint="default"/>
      </w:rPr>
    </w:lvl>
    <w:lvl w:ilvl="2" w:tplc="950C6EFE">
      <w:start w:val="1"/>
      <w:numFmt w:val="bullet"/>
      <w:lvlText w:val="•"/>
      <w:lvlJc w:val="left"/>
      <w:pPr>
        <w:ind w:left="2561" w:hanging="360"/>
      </w:pPr>
      <w:rPr>
        <w:rFonts w:hint="default"/>
      </w:rPr>
    </w:lvl>
    <w:lvl w:ilvl="3" w:tplc="9B64F5D8">
      <w:start w:val="1"/>
      <w:numFmt w:val="bullet"/>
      <w:lvlText w:val="•"/>
      <w:lvlJc w:val="left"/>
      <w:pPr>
        <w:ind w:left="3423" w:hanging="360"/>
      </w:pPr>
      <w:rPr>
        <w:rFonts w:hint="default"/>
      </w:rPr>
    </w:lvl>
    <w:lvl w:ilvl="4" w:tplc="E730C35A">
      <w:start w:val="1"/>
      <w:numFmt w:val="bullet"/>
      <w:lvlText w:val="•"/>
      <w:lvlJc w:val="left"/>
      <w:pPr>
        <w:ind w:left="4285" w:hanging="360"/>
      </w:pPr>
      <w:rPr>
        <w:rFonts w:hint="default"/>
      </w:rPr>
    </w:lvl>
    <w:lvl w:ilvl="5" w:tplc="D4BE040C">
      <w:start w:val="1"/>
      <w:numFmt w:val="bullet"/>
      <w:lvlText w:val="•"/>
      <w:lvlJc w:val="left"/>
      <w:pPr>
        <w:ind w:left="5147" w:hanging="360"/>
      </w:pPr>
      <w:rPr>
        <w:rFonts w:hint="default"/>
      </w:rPr>
    </w:lvl>
    <w:lvl w:ilvl="6" w:tplc="8EF6E8EC">
      <w:start w:val="1"/>
      <w:numFmt w:val="bullet"/>
      <w:lvlText w:val="•"/>
      <w:lvlJc w:val="left"/>
      <w:pPr>
        <w:ind w:left="6009" w:hanging="360"/>
      </w:pPr>
      <w:rPr>
        <w:rFonts w:hint="default"/>
      </w:rPr>
    </w:lvl>
    <w:lvl w:ilvl="7" w:tplc="38FA2754">
      <w:start w:val="1"/>
      <w:numFmt w:val="bullet"/>
      <w:lvlText w:val="•"/>
      <w:lvlJc w:val="left"/>
      <w:pPr>
        <w:ind w:left="6871" w:hanging="360"/>
      </w:pPr>
      <w:rPr>
        <w:rFonts w:hint="default"/>
      </w:rPr>
    </w:lvl>
    <w:lvl w:ilvl="8" w:tplc="295AA7F4">
      <w:start w:val="1"/>
      <w:numFmt w:val="bullet"/>
      <w:lvlText w:val="•"/>
      <w:lvlJc w:val="left"/>
      <w:pPr>
        <w:ind w:left="7733" w:hanging="360"/>
      </w:pPr>
      <w:rPr>
        <w:rFonts w:hint="default"/>
      </w:rPr>
    </w:lvl>
  </w:abstractNum>
  <w:abstractNum w:abstractNumId="18" w15:restartNumberingAfterBreak="0">
    <w:nsid w:val="4979691D"/>
    <w:multiLevelType w:val="hybridMultilevel"/>
    <w:tmpl w:val="8FD09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40C166E"/>
    <w:multiLevelType w:val="hybridMultilevel"/>
    <w:tmpl w:val="FD9A9A6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55F719F3"/>
    <w:multiLevelType w:val="hybridMultilevel"/>
    <w:tmpl w:val="948EAA8A"/>
    <w:lvl w:ilvl="0" w:tplc="D3982BC6">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21" w15:restartNumberingAfterBreak="0">
    <w:nsid w:val="5CD473D5"/>
    <w:multiLevelType w:val="hybridMultilevel"/>
    <w:tmpl w:val="FA845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4C5255"/>
    <w:multiLevelType w:val="hybridMultilevel"/>
    <w:tmpl w:val="9C001E5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64345C7C"/>
    <w:multiLevelType w:val="hybridMultilevel"/>
    <w:tmpl w:val="A2EEF9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9B4499"/>
    <w:multiLevelType w:val="hybridMultilevel"/>
    <w:tmpl w:val="A73075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65C2D45"/>
    <w:multiLevelType w:val="hybridMultilevel"/>
    <w:tmpl w:val="B38A3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CA77BA"/>
    <w:multiLevelType w:val="hybridMultilevel"/>
    <w:tmpl w:val="A3FEBA40"/>
    <w:lvl w:ilvl="0" w:tplc="DC402570">
      <w:numFmt w:val="bullet"/>
      <w:lvlText w:val="•"/>
      <w:lvlJc w:val="left"/>
      <w:pPr>
        <w:ind w:left="696" w:hanging="360"/>
      </w:pPr>
      <w:rPr>
        <w:rFonts w:ascii="Arial" w:eastAsia="Times New Roman" w:hAnsi="Arial" w:cs="Arial" w:hint="default"/>
      </w:rPr>
    </w:lvl>
    <w:lvl w:ilvl="1" w:tplc="04090003" w:tentative="1">
      <w:start w:val="1"/>
      <w:numFmt w:val="bullet"/>
      <w:lvlText w:val="o"/>
      <w:lvlJc w:val="left"/>
      <w:pPr>
        <w:ind w:left="1416" w:hanging="360"/>
      </w:pPr>
      <w:rPr>
        <w:rFonts w:ascii="Courier New" w:hAnsi="Courier New" w:cs="Courier New" w:hint="default"/>
      </w:rPr>
    </w:lvl>
    <w:lvl w:ilvl="2" w:tplc="04090005" w:tentative="1">
      <w:start w:val="1"/>
      <w:numFmt w:val="bullet"/>
      <w:lvlText w:val=""/>
      <w:lvlJc w:val="left"/>
      <w:pPr>
        <w:ind w:left="2136" w:hanging="360"/>
      </w:pPr>
      <w:rPr>
        <w:rFonts w:ascii="Wingdings" w:hAnsi="Wingdings" w:hint="default"/>
      </w:rPr>
    </w:lvl>
    <w:lvl w:ilvl="3" w:tplc="04090001" w:tentative="1">
      <w:start w:val="1"/>
      <w:numFmt w:val="bullet"/>
      <w:lvlText w:val=""/>
      <w:lvlJc w:val="left"/>
      <w:pPr>
        <w:ind w:left="2856" w:hanging="360"/>
      </w:pPr>
      <w:rPr>
        <w:rFonts w:ascii="Symbol" w:hAnsi="Symbol" w:hint="default"/>
      </w:rPr>
    </w:lvl>
    <w:lvl w:ilvl="4" w:tplc="04090003" w:tentative="1">
      <w:start w:val="1"/>
      <w:numFmt w:val="bullet"/>
      <w:lvlText w:val="o"/>
      <w:lvlJc w:val="left"/>
      <w:pPr>
        <w:ind w:left="3576" w:hanging="360"/>
      </w:pPr>
      <w:rPr>
        <w:rFonts w:ascii="Courier New" w:hAnsi="Courier New" w:cs="Courier New" w:hint="default"/>
      </w:rPr>
    </w:lvl>
    <w:lvl w:ilvl="5" w:tplc="04090005" w:tentative="1">
      <w:start w:val="1"/>
      <w:numFmt w:val="bullet"/>
      <w:lvlText w:val=""/>
      <w:lvlJc w:val="left"/>
      <w:pPr>
        <w:ind w:left="4296" w:hanging="360"/>
      </w:pPr>
      <w:rPr>
        <w:rFonts w:ascii="Wingdings" w:hAnsi="Wingdings" w:hint="default"/>
      </w:rPr>
    </w:lvl>
    <w:lvl w:ilvl="6" w:tplc="04090001" w:tentative="1">
      <w:start w:val="1"/>
      <w:numFmt w:val="bullet"/>
      <w:lvlText w:val=""/>
      <w:lvlJc w:val="left"/>
      <w:pPr>
        <w:ind w:left="5016" w:hanging="360"/>
      </w:pPr>
      <w:rPr>
        <w:rFonts w:ascii="Symbol" w:hAnsi="Symbol" w:hint="default"/>
      </w:rPr>
    </w:lvl>
    <w:lvl w:ilvl="7" w:tplc="04090003" w:tentative="1">
      <w:start w:val="1"/>
      <w:numFmt w:val="bullet"/>
      <w:lvlText w:val="o"/>
      <w:lvlJc w:val="left"/>
      <w:pPr>
        <w:ind w:left="5736" w:hanging="360"/>
      </w:pPr>
      <w:rPr>
        <w:rFonts w:ascii="Courier New" w:hAnsi="Courier New" w:cs="Courier New" w:hint="default"/>
      </w:rPr>
    </w:lvl>
    <w:lvl w:ilvl="8" w:tplc="04090005" w:tentative="1">
      <w:start w:val="1"/>
      <w:numFmt w:val="bullet"/>
      <w:lvlText w:val=""/>
      <w:lvlJc w:val="left"/>
      <w:pPr>
        <w:ind w:left="6456" w:hanging="360"/>
      </w:pPr>
      <w:rPr>
        <w:rFonts w:ascii="Wingdings" w:hAnsi="Wingdings" w:hint="default"/>
      </w:rPr>
    </w:lvl>
  </w:abstractNum>
  <w:abstractNum w:abstractNumId="27" w15:restartNumberingAfterBreak="0">
    <w:nsid w:val="706074A9"/>
    <w:multiLevelType w:val="hybridMultilevel"/>
    <w:tmpl w:val="767CDF2E"/>
    <w:lvl w:ilvl="0" w:tplc="0409000F">
      <w:start w:val="1"/>
      <w:numFmt w:val="decimal"/>
      <w:lvlText w:val="%1."/>
      <w:lvlJc w:val="left"/>
      <w:pPr>
        <w:ind w:left="972" w:hanging="360"/>
      </w:p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28" w15:restartNumberingAfterBreak="0">
    <w:nsid w:val="706E72FF"/>
    <w:multiLevelType w:val="hybridMultilevel"/>
    <w:tmpl w:val="487E7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871037"/>
    <w:multiLevelType w:val="hybridMultilevel"/>
    <w:tmpl w:val="83828414"/>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abstractNum w:abstractNumId="30" w15:restartNumberingAfterBreak="0">
    <w:nsid w:val="792D0B63"/>
    <w:multiLevelType w:val="hybridMultilevel"/>
    <w:tmpl w:val="A2E238B2"/>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A944236"/>
    <w:multiLevelType w:val="hybridMultilevel"/>
    <w:tmpl w:val="A68A7C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0"/>
    <w:lvlOverride w:ilvl="0">
      <w:startOverride w:val="1"/>
    </w:lvlOverride>
  </w:num>
  <w:num w:numId="3">
    <w:abstractNumId w:val="5"/>
  </w:num>
  <w:num w:numId="4">
    <w:abstractNumId w:val="23"/>
  </w:num>
  <w:num w:numId="5">
    <w:abstractNumId w:val="18"/>
  </w:num>
  <w:num w:numId="6">
    <w:abstractNumId w:val="8"/>
  </w:num>
  <w:num w:numId="7">
    <w:abstractNumId w:val="28"/>
  </w:num>
  <w:num w:numId="8">
    <w:abstractNumId w:val="27"/>
  </w:num>
  <w:num w:numId="9">
    <w:abstractNumId w:val="20"/>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7"/>
  </w:num>
  <w:num w:numId="15">
    <w:abstractNumId w:val="30"/>
  </w:num>
  <w:num w:numId="16">
    <w:abstractNumId w:val="2"/>
  </w:num>
  <w:num w:numId="17">
    <w:abstractNumId w:val="12"/>
  </w:num>
  <w:num w:numId="18">
    <w:abstractNumId w:val="4"/>
  </w:num>
  <w:num w:numId="19">
    <w:abstractNumId w:val="7"/>
  </w:num>
  <w:num w:numId="20">
    <w:abstractNumId w:val="6"/>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19"/>
  </w:num>
  <w:num w:numId="24">
    <w:abstractNumId w:val="25"/>
  </w:num>
  <w:num w:numId="25">
    <w:abstractNumId w:val="21"/>
  </w:num>
  <w:num w:numId="26">
    <w:abstractNumId w:val="29"/>
  </w:num>
  <w:num w:numId="27">
    <w:abstractNumId w:val="3"/>
  </w:num>
  <w:num w:numId="28">
    <w:abstractNumId w:val="26"/>
  </w:num>
  <w:num w:numId="29">
    <w:abstractNumId w:val="13"/>
  </w:num>
  <w:num w:numId="30">
    <w:abstractNumId w:val="24"/>
  </w:num>
  <w:num w:numId="31">
    <w:abstractNumId w:val="31"/>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15"/>
  </w:num>
  <w:num w:numId="35">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6C0"/>
    <w:rsid w:val="00000761"/>
    <w:rsid w:val="00001076"/>
    <w:rsid w:val="00003902"/>
    <w:rsid w:val="0000441D"/>
    <w:rsid w:val="00010944"/>
    <w:rsid w:val="00014E3F"/>
    <w:rsid w:val="00014F58"/>
    <w:rsid w:val="00015374"/>
    <w:rsid w:val="00015807"/>
    <w:rsid w:val="00015B60"/>
    <w:rsid w:val="0001708E"/>
    <w:rsid w:val="00020A47"/>
    <w:rsid w:val="0002313B"/>
    <w:rsid w:val="00023DDE"/>
    <w:rsid w:val="00024107"/>
    <w:rsid w:val="00031765"/>
    <w:rsid w:val="000332A4"/>
    <w:rsid w:val="000332F0"/>
    <w:rsid w:val="0003627C"/>
    <w:rsid w:val="000365A4"/>
    <w:rsid w:val="0004050B"/>
    <w:rsid w:val="00042A84"/>
    <w:rsid w:val="0004327F"/>
    <w:rsid w:val="00043897"/>
    <w:rsid w:val="000445B5"/>
    <w:rsid w:val="000519B8"/>
    <w:rsid w:val="00051B4C"/>
    <w:rsid w:val="000550EC"/>
    <w:rsid w:val="00056857"/>
    <w:rsid w:val="00056F1C"/>
    <w:rsid w:val="00063EEC"/>
    <w:rsid w:val="00064409"/>
    <w:rsid w:val="000701F0"/>
    <w:rsid w:val="0007060A"/>
    <w:rsid w:val="00070E79"/>
    <w:rsid w:val="000712CD"/>
    <w:rsid w:val="00071FEA"/>
    <w:rsid w:val="00074DB0"/>
    <w:rsid w:val="00075058"/>
    <w:rsid w:val="00081569"/>
    <w:rsid w:val="00082534"/>
    <w:rsid w:val="000826E8"/>
    <w:rsid w:val="00084485"/>
    <w:rsid w:val="0008465D"/>
    <w:rsid w:val="0008507B"/>
    <w:rsid w:val="00087512"/>
    <w:rsid w:val="000877FF"/>
    <w:rsid w:val="0008789B"/>
    <w:rsid w:val="000879B3"/>
    <w:rsid w:val="00090491"/>
    <w:rsid w:val="000933DE"/>
    <w:rsid w:val="00093778"/>
    <w:rsid w:val="000970CD"/>
    <w:rsid w:val="000A01A7"/>
    <w:rsid w:val="000A1E92"/>
    <w:rsid w:val="000A37B4"/>
    <w:rsid w:val="000A4DB1"/>
    <w:rsid w:val="000A5480"/>
    <w:rsid w:val="000A6DB4"/>
    <w:rsid w:val="000B0100"/>
    <w:rsid w:val="000B07EA"/>
    <w:rsid w:val="000B0B22"/>
    <w:rsid w:val="000B0C27"/>
    <w:rsid w:val="000B21E1"/>
    <w:rsid w:val="000B2ED1"/>
    <w:rsid w:val="000B4254"/>
    <w:rsid w:val="000B5CD0"/>
    <w:rsid w:val="000B62B5"/>
    <w:rsid w:val="000B755F"/>
    <w:rsid w:val="000B7BAC"/>
    <w:rsid w:val="000C144F"/>
    <w:rsid w:val="000C14FB"/>
    <w:rsid w:val="000C1C7E"/>
    <w:rsid w:val="000C256C"/>
    <w:rsid w:val="000C3D6A"/>
    <w:rsid w:val="000C4EFB"/>
    <w:rsid w:val="000C5843"/>
    <w:rsid w:val="000C5F25"/>
    <w:rsid w:val="000C6237"/>
    <w:rsid w:val="000C6C60"/>
    <w:rsid w:val="000D6A35"/>
    <w:rsid w:val="000E1490"/>
    <w:rsid w:val="000E158B"/>
    <w:rsid w:val="000E7CD1"/>
    <w:rsid w:val="000F0A9A"/>
    <w:rsid w:val="000F1C37"/>
    <w:rsid w:val="00101BC7"/>
    <w:rsid w:val="00103328"/>
    <w:rsid w:val="00106D74"/>
    <w:rsid w:val="00107E8D"/>
    <w:rsid w:val="0011048C"/>
    <w:rsid w:val="001104DD"/>
    <w:rsid w:val="001117B8"/>
    <w:rsid w:val="00116566"/>
    <w:rsid w:val="0012037F"/>
    <w:rsid w:val="00121031"/>
    <w:rsid w:val="00122E8E"/>
    <w:rsid w:val="00124788"/>
    <w:rsid w:val="00125235"/>
    <w:rsid w:val="00125805"/>
    <w:rsid w:val="00126F17"/>
    <w:rsid w:val="0012786B"/>
    <w:rsid w:val="00133865"/>
    <w:rsid w:val="00135C3B"/>
    <w:rsid w:val="00136868"/>
    <w:rsid w:val="00136C98"/>
    <w:rsid w:val="00141409"/>
    <w:rsid w:val="00144585"/>
    <w:rsid w:val="001446B0"/>
    <w:rsid w:val="00144D67"/>
    <w:rsid w:val="00152174"/>
    <w:rsid w:val="00156145"/>
    <w:rsid w:val="00156527"/>
    <w:rsid w:val="001565DE"/>
    <w:rsid w:val="001624CC"/>
    <w:rsid w:val="00162EA3"/>
    <w:rsid w:val="00163027"/>
    <w:rsid w:val="0016468A"/>
    <w:rsid w:val="00167359"/>
    <w:rsid w:val="00167381"/>
    <w:rsid w:val="00167573"/>
    <w:rsid w:val="00172340"/>
    <w:rsid w:val="00172F56"/>
    <w:rsid w:val="0017483E"/>
    <w:rsid w:val="0017509A"/>
    <w:rsid w:val="00177CEB"/>
    <w:rsid w:val="00180222"/>
    <w:rsid w:val="00182809"/>
    <w:rsid w:val="00182F64"/>
    <w:rsid w:val="00183E57"/>
    <w:rsid w:val="00190C1D"/>
    <w:rsid w:val="00192231"/>
    <w:rsid w:val="00192374"/>
    <w:rsid w:val="00193B33"/>
    <w:rsid w:val="00194DC6"/>
    <w:rsid w:val="00195C8C"/>
    <w:rsid w:val="001A0C40"/>
    <w:rsid w:val="001A2300"/>
    <w:rsid w:val="001A2B31"/>
    <w:rsid w:val="001A327A"/>
    <w:rsid w:val="001A43D2"/>
    <w:rsid w:val="001A6955"/>
    <w:rsid w:val="001A7D43"/>
    <w:rsid w:val="001B3D65"/>
    <w:rsid w:val="001B67F3"/>
    <w:rsid w:val="001C18B0"/>
    <w:rsid w:val="001C2C5E"/>
    <w:rsid w:val="001C3083"/>
    <w:rsid w:val="001C37FD"/>
    <w:rsid w:val="001C4F28"/>
    <w:rsid w:val="001C5D2B"/>
    <w:rsid w:val="001C7F8C"/>
    <w:rsid w:val="001D0BF5"/>
    <w:rsid w:val="001D0EC6"/>
    <w:rsid w:val="001D15A6"/>
    <w:rsid w:val="001D37AF"/>
    <w:rsid w:val="001D46BF"/>
    <w:rsid w:val="001D51C0"/>
    <w:rsid w:val="001D5C43"/>
    <w:rsid w:val="001D6576"/>
    <w:rsid w:val="001E1053"/>
    <w:rsid w:val="001E122B"/>
    <w:rsid w:val="001E1577"/>
    <w:rsid w:val="001E2046"/>
    <w:rsid w:val="001E247D"/>
    <w:rsid w:val="001E4391"/>
    <w:rsid w:val="001E5BDB"/>
    <w:rsid w:val="001E74E3"/>
    <w:rsid w:val="001E7715"/>
    <w:rsid w:val="001F0F6F"/>
    <w:rsid w:val="001F4B37"/>
    <w:rsid w:val="001F67D7"/>
    <w:rsid w:val="00202B4B"/>
    <w:rsid w:val="00202B88"/>
    <w:rsid w:val="0020305D"/>
    <w:rsid w:val="00203514"/>
    <w:rsid w:val="00206F88"/>
    <w:rsid w:val="00207665"/>
    <w:rsid w:val="0021133E"/>
    <w:rsid w:val="002124B1"/>
    <w:rsid w:val="00214CDA"/>
    <w:rsid w:val="00214FD0"/>
    <w:rsid w:val="00220432"/>
    <w:rsid w:val="002309E5"/>
    <w:rsid w:val="00230A3D"/>
    <w:rsid w:val="00232E04"/>
    <w:rsid w:val="002356F3"/>
    <w:rsid w:val="00236BFD"/>
    <w:rsid w:val="00237355"/>
    <w:rsid w:val="00237EAF"/>
    <w:rsid w:val="002412FF"/>
    <w:rsid w:val="00244496"/>
    <w:rsid w:val="00246521"/>
    <w:rsid w:val="00246A98"/>
    <w:rsid w:val="002501C4"/>
    <w:rsid w:val="00250C0A"/>
    <w:rsid w:val="00254194"/>
    <w:rsid w:val="00254795"/>
    <w:rsid w:val="002557FC"/>
    <w:rsid w:val="002570DF"/>
    <w:rsid w:val="002643D7"/>
    <w:rsid w:val="00265785"/>
    <w:rsid w:val="00267933"/>
    <w:rsid w:val="00270050"/>
    <w:rsid w:val="002774DA"/>
    <w:rsid w:val="00277AB6"/>
    <w:rsid w:val="00280475"/>
    <w:rsid w:val="0028618A"/>
    <w:rsid w:val="0029049C"/>
    <w:rsid w:val="002906C6"/>
    <w:rsid w:val="002916FF"/>
    <w:rsid w:val="002953D0"/>
    <w:rsid w:val="002960DC"/>
    <w:rsid w:val="0029726D"/>
    <w:rsid w:val="002A2960"/>
    <w:rsid w:val="002A7479"/>
    <w:rsid w:val="002A7483"/>
    <w:rsid w:val="002B023B"/>
    <w:rsid w:val="002B1927"/>
    <w:rsid w:val="002B2784"/>
    <w:rsid w:val="002B2B75"/>
    <w:rsid w:val="002B2E54"/>
    <w:rsid w:val="002B5BB4"/>
    <w:rsid w:val="002B72B3"/>
    <w:rsid w:val="002C3B5D"/>
    <w:rsid w:val="002C5658"/>
    <w:rsid w:val="002C7F60"/>
    <w:rsid w:val="002D3497"/>
    <w:rsid w:val="002D39A4"/>
    <w:rsid w:val="002D3D5A"/>
    <w:rsid w:val="002D54C0"/>
    <w:rsid w:val="002D55FF"/>
    <w:rsid w:val="002D6C44"/>
    <w:rsid w:val="002E2850"/>
    <w:rsid w:val="002E35D0"/>
    <w:rsid w:val="002F1293"/>
    <w:rsid w:val="002F2FD6"/>
    <w:rsid w:val="002F47B2"/>
    <w:rsid w:val="002F66CD"/>
    <w:rsid w:val="002F68A9"/>
    <w:rsid w:val="002F7BBB"/>
    <w:rsid w:val="00300B4A"/>
    <w:rsid w:val="00302BDA"/>
    <w:rsid w:val="00303BB1"/>
    <w:rsid w:val="00304E80"/>
    <w:rsid w:val="003054A2"/>
    <w:rsid w:val="0030627E"/>
    <w:rsid w:val="003073A0"/>
    <w:rsid w:val="00312DA3"/>
    <w:rsid w:val="00313AAB"/>
    <w:rsid w:val="003148A7"/>
    <w:rsid w:val="00315E43"/>
    <w:rsid w:val="003162DA"/>
    <w:rsid w:val="00316924"/>
    <w:rsid w:val="00317A10"/>
    <w:rsid w:val="00320934"/>
    <w:rsid w:val="00322426"/>
    <w:rsid w:val="003300FC"/>
    <w:rsid w:val="003315CA"/>
    <w:rsid w:val="00332E71"/>
    <w:rsid w:val="00343326"/>
    <w:rsid w:val="00343B2A"/>
    <w:rsid w:val="00343E70"/>
    <w:rsid w:val="00344035"/>
    <w:rsid w:val="003442EB"/>
    <w:rsid w:val="00344F19"/>
    <w:rsid w:val="003458F7"/>
    <w:rsid w:val="00345A8B"/>
    <w:rsid w:val="003525F4"/>
    <w:rsid w:val="00353852"/>
    <w:rsid w:val="0035740D"/>
    <w:rsid w:val="00357CA1"/>
    <w:rsid w:val="00360576"/>
    <w:rsid w:val="0036084A"/>
    <w:rsid w:val="0036356A"/>
    <w:rsid w:val="003665DC"/>
    <w:rsid w:val="003709C0"/>
    <w:rsid w:val="00373CB6"/>
    <w:rsid w:val="00376486"/>
    <w:rsid w:val="00377964"/>
    <w:rsid w:val="00382528"/>
    <w:rsid w:val="00382815"/>
    <w:rsid w:val="0038430F"/>
    <w:rsid w:val="00384510"/>
    <w:rsid w:val="0038563B"/>
    <w:rsid w:val="00387B8A"/>
    <w:rsid w:val="00387E6C"/>
    <w:rsid w:val="00393A5A"/>
    <w:rsid w:val="00395EF5"/>
    <w:rsid w:val="00396706"/>
    <w:rsid w:val="00397ADA"/>
    <w:rsid w:val="003A01EF"/>
    <w:rsid w:val="003A5BE6"/>
    <w:rsid w:val="003B046D"/>
    <w:rsid w:val="003B0B84"/>
    <w:rsid w:val="003B1755"/>
    <w:rsid w:val="003B2481"/>
    <w:rsid w:val="003B4D2A"/>
    <w:rsid w:val="003B5452"/>
    <w:rsid w:val="003B65B6"/>
    <w:rsid w:val="003B74F0"/>
    <w:rsid w:val="003B7A42"/>
    <w:rsid w:val="003C221F"/>
    <w:rsid w:val="003C442F"/>
    <w:rsid w:val="003C544B"/>
    <w:rsid w:val="003C6681"/>
    <w:rsid w:val="003C6C40"/>
    <w:rsid w:val="003D0FBE"/>
    <w:rsid w:val="003D10EC"/>
    <w:rsid w:val="003D215B"/>
    <w:rsid w:val="003D33BF"/>
    <w:rsid w:val="003D34FD"/>
    <w:rsid w:val="003D4324"/>
    <w:rsid w:val="003D7B94"/>
    <w:rsid w:val="003E137E"/>
    <w:rsid w:val="003E156F"/>
    <w:rsid w:val="003E48EF"/>
    <w:rsid w:val="003F01BE"/>
    <w:rsid w:val="003F354F"/>
    <w:rsid w:val="003F4C14"/>
    <w:rsid w:val="003F4EF2"/>
    <w:rsid w:val="0040068C"/>
    <w:rsid w:val="00401F1C"/>
    <w:rsid w:val="00406432"/>
    <w:rsid w:val="004103C7"/>
    <w:rsid w:val="00411CC4"/>
    <w:rsid w:val="00411F96"/>
    <w:rsid w:val="00412FD3"/>
    <w:rsid w:val="00413BF6"/>
    <w:rsid w:val="004141C0"/>
    <w:rsid w:val="00414551"/>
    <w:rsid w:val="00416BA5"/>
    <w:rsid w:val="00420CFD"/>
    <w:rsid w:val="00422E01"/>
    <w:rsid w:val="004235DC"/>
    <w:rsid w:val="00423AF1"/>
    <w:rsid w:val="00425CE4"/>
    <w:rsid w:val="00425E8A"/>
    <w:rsid w:val="00430C56"/>
    <w:rsid w:val="00431371"/>
    <w:rsid w:val="004333CB"/>
    <w:rsid w:val="004343D0"/>
    <w:rsid w:val="00434D85"/>
    <w:rsid w:val="00435F8E"/>
    <w:rsid w:val="0043625E"/>
    <w:rsid w:val="0044259B"/>
    <w:rsid w:val="004442F2"/>
    <w:rsid w:val="004445C8"/>
    <w:rsid w:val="00444DC6"/>
    <w:rsid w:val="004457B9"/>
    <w:rsid w:val="00445CFB"/>
    <w:rsid w:val="004463E5"/>
    <w:rsid w:val="00446D4F"/>
    <w:rsid w:val="004479F9"/>
    <w:rsid w:val="00451922"/>
    <w:rsid w:val="00452279"/>
    <w:rsid w:val="00452760"/>
    <w:rsid w:val="00453746"/>
    <w:rsid w:val="0045556F"/>
    <w:rsid w:val="00456B56"/>
    <w:rsid w:val="00461756"/>
    <w:rsid w:val="00464A6A"/>
    <w:rsid w:val="00466A6E"/>
    <w:rsid w:val="0046765E"/>
    <w:rsid w:val="004733B7"/>
    <w:rsid w:val="00473626"/>
    <w:rsid w:val="00473767"/>
    <w:rsid w:val="00474060"/>
    <w:rsid w:val="00476C5E"/>
    <w:rsid w:val="00477F20"/>
    <w:rsid w:val="0048045F"/>
    <w:rsid w:val="00481999"/>
    <w:rsid w:val="00481E78"/>
    <w:rsid w:val="004826CE"/>
    <w:rsid w:val="0048333C"/>
    <w:rsid w:val="00485C5E"/>
    <w:rsid w:val="004860A8"/>
    <w:rsid w:val="00486E93"/>
    <w:rsid w:val="00487878"/>
    <w:rsid w:val="00490BE6"/>
    <w:rsid w:val="00490F89"/>
    <w:rsid w:val="004918A7"/>
    <w:rsid w:val="00494497"/>
    <w:rsid w:val="004A088E"/>
    <w:rsid w:val="004A37C4"/>
    <w:rsid w:val="004A592B"/>
    <w:rsid w:val="004B0BB1"/>
    <w:rsid w:val="004B1127"/>
    <w:rsid w:val="004B115A"/>
    <w:rsid w:val="004B38D8"/>
    <w:rsid w:val="004B5C63"/>
    <w:rsid w:val="004C11EF"/>
    <w:rsid w:val="004C5349"/>
    <w:rsid w:val="004C77E6"/>
    <w:rsid w:val="004C7A37"/>
    <w:rsid w:val="004D2828"/>
    <w:rsid w:val="004D50E2"/>
    <w:rsid w:val="004D579D"/>
    <w:rsid w:val="004D5B02"/>
    <w:rsid w:val="004E4DC5"/>
    <w:rsid w:val="004E5CC1"/>
    <w:rsid w:val="004E5DAC"/>
    <w:rsid w:val="004E6853"/>
    <w:rsid w:val="004E72D2"/>
    <w:rsid w:val="004F0EFC"/>
    <w:rsid w:val="004F18C7"/>
    <w:rsid w:val="004F35E7"/>
    <w:rsid w:val="004F6D90"/>
    <w:rsid w:val="005003D5"/>
    <w:rsid w:val="00501176"/>
    <w:rsid w:val="005037D9"/>
    <w:rsid w:val="00505860"/>
    <w:rsid w:val="00511952"/>
    <w:rsid w:val="00511CD4"/>
    <w:rsid w:val="005125BE"/>
    <w:rsid w:val="0051375A"/>
    <w:rsid w:val="00523FAC"/>
    <w:rsid w:val="00524986"/>
    <w:rsid w:val="00525261"/>
    <w:rsid w:val="00527C3F"/>
    <w:rsid w:val="00530FD6"/>
    <w:rsid w:val="005313CE"/>
    <w:rsid w:val="00532FEC"/>
    <w:rsid w:val="0053304B"/>
    <w:rsid w:val="005341A4"/>
    <w:rsid w:val="00536A26"/>
    <w:rsid w:val="005379A0"/>
    <w:rsid w:val="005430D0"/>
    <w:rsid w:val="0054370F"/>
    <w:rsid w:val="005449A9"/>
    <w:rsid w:val="00544D96"/>
    <w:rsid w:val="00545957"/>
    <w:rsid w:val="005463CA"/>
    <w:rsid w:val="005466B6"/>
    <w:rsid w:val="00557073"/>
    <w:rsid w:val="00557511"/>
    <w:rsid w:val="00561697"/>
    <w:rsid w:val="00562C34"/>
    <w:rsid w:val="00563F8B"/>
    <w:rsid w:val="00570C5C"/>
    <w:rsid w:val="005760EB"/>
    <w:rsid w:val="00576CDC"/>
    <w:rsid w:val="00577B0B"/>
    <w:rsid w:val="00583948"/>
    <w:rsid w:val="0058429B"/>
    <w:rsid w:val="00585E5A"/>
    <w:rsid w:val="00586A4C"/>
    <w:rsid w:val="0059373C"/>
    <w:rsid w:val="005956FA"/>
    <w:rsid w:val="005A043A"/>
    <w:rsid w:val="005A1760"/>
    <w:rsid w:val="005A1B52"/>
    <w:rsid w:val="005A23F6"/>
    <w:rsid w:val="005A3096"/>
    <w:rsid w:val="005A5357"/>
    <w:rsid w:val="005A6AB5"/>
    <w:rsid w:val="005B015A"/>
    <w:rsid w:val="005B2393"/>
    <w:rsid w:val="005B3986"/>
    <w:rsid w:val="005B57F8"/>
    <w:rsid w:val="005B6D50"/>
    <w:rsid w:val="005B7602"/>
    <w:rsid w:val="005B7AA8"/>
    <w:rsid w:val="005C0CBA"/>
    <w:rsid w:val="005C2988"/>
    <w:rsid w:val="005C70AE"/>
    <w:rsid w:val="005D40EB"/>
    <w:rsid w:val="005D6045"/>
    <w:rsid w:val="005E7584"/>
    <w:rsid w:val="005F21BC"/>
    <w:rsid w:val="005F33EA"/>
    <w:rsid w:val="005F3A63"/>
    <w:rsid w:val="005F4E3B"/>
    <w:rsid w:val="00601254"/>
    <w:rsid w:val="00606702"/>
    <w:rsid w:val="00611128"/>
    <w:rsid w:val="006123BB"/>
    <w:rsid w:val="006128A2"/>
    <w:rsid w:val="00613A94"/>
    <w:rsid w:val="006143B9"/>
    <w:rsid w:val="00615C2B"/>
    <w:rsid w:val="0061757C"/>
    <w:rsid w:val="00617C22"/>
    <w:rsid w:val="0062405B"/>
    <w:rsid w:val="00624200"/>
    <w:rsid w:val="006258F9"/>
    <w:rsid w:val="00626904"/>
    <w:rsid w:val="006322F1"/>
    <w:rsid w:val="00635DD6"/>
    <w:rsid w:val="00636EEF"/>
    <w:rsid w:val="00644294"/>
    <w:rsid w:val="006454DD"/>
    <w:rsid w:val="0065008E"/>
    <w:rsid w:val="00650E83"/>
    <w:rsid w:val="00656113"/>
    <w:rsid w:val="00661286"/>
    <w:rsid w:val="00663964"/>
    <w:rsid w:val="006643B9"/>
    <w:rsid w:val="00664B3E"/>
    <w:rsid w:val="00670A58"/>
    <w:rsid w:val="0067190F"/>
    <w:rsid w:val="0067538F"/>
    <w:rsid w:val="00675503"/>
    <w:rsid w:val="00680400"/>
    <w:rsid w:val="00682311"/>
    <w:rsid w:val="00682970"/>
    <w:rsid w:val="00685D43"/>
    <w:rsid w:val="0069078D"/>
    <w:rsid w:val="0069238A"/>
    <w:rsid w:val="00693E5C"/>
    <w:rsid w:val="0069732F"/>
    <w:rsid w:val="00697708"/>
    <w:rsid w:val="006A1506"/>
    <w:rsid w:val="006A2FC3"/>
    <w:rsid w:val="006A4B34"/>
    <w:rsid w:val="006B27F5"/>
    <w:rsid w:val="006B4CE9"/>
    <w:rsid w:val="006B7C81"/>
    <w:rsid w:val="006C1BAE"/>
    <w:rsid w:val="006C2C01"/>
    <w:rsid w:val="006C68CD"/>
    <w:rsid w:val="006C72E0"/>
    <w:rsid w:val="006D1030"/>
    <w:rsid w:val="006D2776"/>
    <w:rsid w:val="006D3FCF"/>
    <w:rsid w:val="006D4E62"/>
    <w:rsid w:val="006E0BEC"/>
    <w:rsid w:val="006E6745"/>
    <w:rsid w:val="006F0E8F"/>
    <w:rsid w:val="006F2355"/>
    <w:rsid w:val="006F358D"/>
    <w:rsid w:val="006F6DD3"/>
    <w:rsid w:val="00702406"/>
    <w:rsid w:val="0070431D"/>
    <w:rsid w:val="007053C7"/>
    <w:rsid w:val="00710721"/>
    <w:rsid w:val="007128B2"/>
    <w:rsid w:val="00722398"/>
    <w:rsid w:val="0073008E"/>
    <w:rsid w:val="00730725"/>
    <w:rsid w:val="00732E54"/>
    <w:rsid w:val="00734B1F"/>
    <w:rsid w:val="00736517"/>
    <w:rsid w:val="00737505"/>
    <w:rsid w:val="00740502"/>
    <w:rsid w:val="00741476"/>
    <w:rsid w:val="007417EF"/>
    <w:rsid w:val="00741CE5"/>
    <w:rsid w:val="0074339D"/>
    <w:rsid w:val="00743B6B"/>
    <w:rsid w:val="00743B89"/>
    <w:rsid w:val="00745381"/>
    <w:rsid w:val="00746E03"/>
    <w:rsid w:val="007500DC"/>
    <w:rsid w:val="007502C8"/>
    <w:rsid w:val="00750386"/>
    <w:rsid w:val="00750C91"/>
    <w:rsid w:val="0075334C"/>
    <w:rsid w:val="00754FB2"/>
    <w:rsid w:val="0075742D"/>
    <w:rsid w:val="007578AA"/>
    <w:rsid w:val="00760728"/>
    <w:rsid w:val="00761140"/>
    <w:rsid w:val="00762D42"/>
    <w:rsid w:val="00762EB0"/>
    <w:rsid w:val="007659F8"/>
    <w:rsid w:val="00766D23"/>
    <w:rsid w:val="007739D8"/>
    <w:rsid w:val="00780682"/>
    <w:rsid w:val="00781E86"/>
    <w:rsid w:val="00782968"/>
    <w:rsid w:val="007861A3"/>
    <w:rsid w:val="0078778F"/>
    <w:rsid w:val="00787C41"/>
    <w:rsid w:val="00790952"/>
    <w:rsid w:val="00791EAF"/>
    <w:rsid w:val="00792C4F"/>
    <w:rsid w:val="007938BA"/>
    <w:rsid w:val="007944FE"/>
    <w:rsid w:val="00795614"/>
    <w:rsid w:val="007957AB"/>
    <w:rsid w:val="0079594B"/>
    <w:rsid w:val="00796342"/>
    <w:rsid w:val="007A10B0"/>
    <w:rsid w:val="007A1B0F"/>
    <w:rsid w:val="007A6164"/>
    <w:rsid w:val="007A7577"/>
    <w:rsid w:val="007A764F"/>
    <w:rsid w:val="007B0A2E"/>
    <w:rsid w:val="007B283C"/>
    <w:rsid w:val="007B54E0"/>
    <w:rsid w:val="007C0930"/>
    <w:rsid w:val="007C1710"/>
    <w:rsid w:val="007C1888"/>
    <w:rsid w:val="007C3DF9"/>
    <w:rsid w:val="007C6CCE"/>
    <w:rsid w:val="007D2080"/>
    <w:rsid w:val="007D378D"/>
    <w:rsid w:val="007D3D52"/>
    <w:rsid w:val="007D3F03"/>
    <w:rsid w:val="007D770C"/>
    <w:rsid w:val="007E1B5F"/>
    <w:rsid w:val="007E2639"/>
    <w:rsid w:val="007E5884"/>
    <w:rsid w:val="007E6516"/>
    <w:rsid w:val="007F47EA"/>
    <w:rsid w:val="007F613F"/>
    <w:rsid w:val="00801965"/>
    <w:rsid w:val="00803861"/>
    <w:rsid w:val="00810F2D"/>
    <w:rsid w:val="00811CA3"/>
    <w:rsid w:val="00812A8E"/>
    <w:rsid w:val="0081371C"/>
    <w:rsid w:val="008141FC"/>
    <w:rsid w:val="0081454B"/>
    <w:rsid w:val="00814EF1"/>
    <w:rsid w:val="00815A7B"/>
    <w:rsid w:val="00817162"/>
    <w:rsid w:val="00817D8C"/>
    <w:rsid w:val="00817F9D"/>
    <w:rsid w:val="00823F11"/>
    <w:rsid w:val="008240C4"/>
    <w:rsid w:val="00830AD6"/>
    <w:rsid w:val="00831159"/>
    <w:rsid w:val="0084145B"/>
    <w:rsid w:val="00845451"/>
    <w:rsid w:val="00846F00"/>
    <w:rsid w:val="008501D9"/>
    <w:rsid w:val="00850C1C"/>
    <w:rsid w:val="008512AC"/>
    <w:rsid w:val="00852912"/>
    <w:rsid w:val="008531CA"/>
    <w:rsid w:val="008556CD"/>
    <w:rsid w:val="008557E3"/>
    <w:rsid w:val="0085603D"/>
    <w:rsid w:val="0085668C"/>
    <w:rsid w:val="008571B9"/>
    <w:rsid w:val="00857993"/>
    <w:rsid w:val="0086013E"/>
    <w:rsid w:val="008605FC"/>
    <w:rsid w:val="00860C57"/>
    <w:rsid w:val="008619C1"/>
    <w:rsid w:val="008633E6"/>
    <w:rsid w:val="00864635"/>
    <w:rsid w:val="008647C5"/>
    <w:rsid w:val="0086561E"/>
    <w:rsid w:val="00867774"/>
    <w:rsid w:val="0087036E"/>
    <w:rsid w:val="008708D2"/>
    <w:rsid w:val="00871C6B"/>
    <w:rsid w:val="00874D93"/>
    <w:rsid w:val="008753CD"/>
    <w:rsid w:val="008758E6"/>
    <w:rsid w:val="008759E6"/>
    <w:rsid w:val="008808C5"/>
    <w:rsid w:val="00882703"/>
    <w:rsid w:val="00883422"/>
    <w:rsid w:val="008840E6"/>
    <w:rsid w:val="00885CD7"/>
    <w:rsid w:val="00891AD4"/>
    <w:rsid w:val="008934DD"/>
    <w:rsid w:val="00896CB9"/>
    <w:rsid w:val="00896E12"/>
    <w:rsid w:val="008B03EF"/>
    <w:rsid w:val="008B07A7"/>
    <w:rsid w:val="008B0ABB"/>
    <w:rsid w:val="008B0CB6"/>
    <w:rsid w:val="008B6F5A"/>
    <w:rsid w:val="008C000A"/>
    <w:rsid w:val="008C288F"/>
    <w:rsid w:val="008C3AE2"/>
    <w:rsid w:val="008C4846"/>
    <w:rsid w:val="008C4FA5"/>
    <w:rsid w:val="008C717D"/>
    <w:rsid w:val="008C7A4E"/>
    <w:rsid w:val="008D48F0"/>
    <w:rsid w:val="008D7395"/>
    <w:rsid w:val="008D74C6"/>
    <w:rsid w:val="008E602F"/>
    <w:rsid w:val="008F284A"/>
    <w:rsid w:val="008F742A"/>
    <w:rsid w:val="00901027"/>
    <w:rsid w:val="009054A2"/>
    <w:rsid w:val="00905F80"/>
    <w:rsid w:val="0090627C"/>
    <w:rsid w:val="00910176"/>
    <w:rsid w:val="009109BB"/>
    <w:rsid w:val="00912AAF"/>
    <w:rsid w:val="00912C7E"/>
    <w:rsid w:val="00914774"/>
    <w:rsid w:val="00916540"/>
    <w:rsid w:val="00917662"/>
    <w:rsid w:val="00923149"/>
    <w:rsid w:val="00925688"/>
    <w:rsid w:val="00925E72"/>
    <w:rsid w:val="00927A29"/>
    <w:rsid w:val="00927F13"/>
    <w:rsid w:val="009308C4"/>
    <w:rsid w:val="00932119"/>
    <w:rsid w:val="00937CF5"/>
    <w:rsid w:val="009403D6"/>
    <w:rsid w:val="00941210"/>
    <w:rsid w:val="00941B6C"/>
    <w:rsid w:val="00943421"/>
    <w:rsid w:val="009435AD"/>
    <w:rsid w:val="00945C0C"/>
    <w:rsid w:val="00945EB4"/>
    <w:rsid w:val="00946C2C"/>
    <w:rsid w:val="009500B2"/>
    <w:rsid w:val="00957FBD"/>
    <w:rsid w:val="00960CD8"/>
    <w:rsid w:val="009612EB"/>
    <w:rsid w:val="009624F7"/>
    <w:rsid w:val="0096367A"/>
    <w:rsid w:val="00963FFB"/>
    <w:rsid w:val="00966C98"/>
    <w:rsid w:val="00971333"/>
    <w:rsid w:val="0097596C"/>
    <w:rsid w:val="00975EAF"/>
    <w:rsid w:val="009760A1"/>
    <w:rsid w:val="0097770B"/>
    <w:rsid w:val="00977A2C"/>
    <w:rsid w:val="009812BF"/>
    <w:rsid w:val="0098146B"/>
    <w:rsid w:val="00983AE8"/>
    <w:rsid w:val="00984D60"/>
    <w:rsid w:val="00987E74"/>
    <w:rsid w:val="00993BF2"/>
    <w:rsid w:val="00995B4B"/>
    <w:rsid w:val="00997A15"/>
    <w:rsid w:val="009A051C"/>
    <w:rsid w:val="009A0E35"/>
    <w:rsid w:val="009A109D"/>
    <w:rsid w:val="009A1493"/>
    <w:rsid w:val="009A6A92"/>
    <w:rsid w:val="009B21B3"/>
    <w:rsid w:val="009B222B"/>
    <w:rsid w:val="009B3582"/>
    <w:rsid w:val="009B3A0B"/>
    <w:rsid w:val="009B3A1A"/>
    <w:rsid w:val="009B5F41"/>
    <w:rsid w:val="009B6372"/>
    <w:rsid w:val="009B681E"/>
    <w:rsid w:val="009B7AC0"/>
    <w:rsid w:val="009C2C35"/>
    <w:rsid w:val="009C3A17"/>
    <w:rsid w:val="009C50D3"/>
    <w:rsid w:val="009C6A77"/>
    <w:rsid w:val="009C7CB1"/>
    <w:rsid w:val="009D2EB1"/>
    <w:rsid w:val="009D58E8"/>
    <w:rsid w:val="009E6B0B"/>
    <w:rsid w:val="009E6C8E"/>
    <w:rsid w:val="009E724E"/>
    <w:rsid w:val="009F7215"/>
    <w:rsid w:val="00A02386"/>
    <w:rsid w:val="00A02BD8"/>
    <w:rsid w:val="00A07E8F"/>
    <w:rsid w:val="00A07F62"/>
    <w:rsid w:val="00A12948"/>
    <w:rsid w:val="00A13495"/>
    <w:rsid w:val="00A152A4"/>
    <w:rsid w:val="00A22957"/>
    <w:rsid w:val="00A2447F"/>
    <w:rsid w:val="00A24C71"/>
    <w:rsid w:val="00A25C44"/>
    <w:rsid w:val="00A264A8"/>
    <w:rsid w:val="00A26770"/>
    <w:rsid w:val="00A306DC"/>
    <w:rsid w:val="00A31E75"/>
    <w:rsid w:val="00A34756"/>
    <w:rsid w:val="00A36049"/>
    <w:rsid w:val="00A364DF"/>
    <w:rsid w:val="00A3793B"/>
    <w:rsid w:val="00A379C1"/>
    <w:rsid w:val="00A40135"/>
    <w:rsid w:val="00A4129C"/>
    <w:rsid w:val="00A41BD4"/>
    <w:rsid w:val="00A4236B"/>
    <w:rsid w:val="00A46F1A"/>
    <w:rsid w:val="00A46FDE"/>
    <w:rsid w:val="00A477EB"/>
    <w:rsid w:val="00A50760"/>
    <w:rsid w:val="00A51325"/>
    <w:rsid w:val="00A5209C"/>
    <w:rsid w:val="00A53545"/>
    <w:rsid w:val="00A54BF6"/>
    <w:rsid w:val="00A54D1C"/>
    <w:rsid w:val="00A555B4"/>
    <w:rsid w:val="00A560FF"/>
    <w:rsid w:val="00A563A2"/>
    <w:rsid w:val="00A57642"/>
    <w:rsid w:val="00A57D83"/>
    <w:rsid w:val="00A60A1E"/>
    <w:rsid w:val="00A62CF4"/>
    <w:rsid w:val="00A64DDF"/>
    <w:rsid w:val="00A64E8F"/>
    <w:rsid w:val="00A66E13"/>
    <w:rsid w:val="00A6722F"/>
    <w:rsid w:val="00A73166"/>
    <w:rsid w:val="00A73187"/>
    <w:rsid w:val="00A73519"/>
    <w:rsid w:val="00A73AD2"/>
    <w:rsid w:val="00A758FD"/>
    <w:rsid w:val="00A75B72"/>
    <w:rsid w:val="00A81E1B"/>
    <w:rsid w:val="00A82F85"/>
    <w:rsid w:val="00A82FA4"/>
    <w:rsid w:val="00A83D18"/>
    <w:rsid w:val="00A841F7"/>
    <w:rsid w:val="00A86151"/>
    <w:rsid w:val="00A95268"/>
    <w:rsid w:val="00A952A8"/>
    <w:rsid w:val="00AA1D28"/>
    <w:rsid w:val="00AA748E"/>
    <w:rsid w:val="00AA7A73"/>
    <w:rsid w:val="00AA7B49"/>
    <w:rsid w:val="00AA7D7D"/>
    <w:rsid w:val="00AB292A"/>
    <w:rsid w:val="00AB5124"/>
    <w:rsid w:val="00AB779F"/>
    <w:rsid w:val="00AC0F06"/>
    <w:rsid w:val="00AC2113"/>
    <w:rsid w:val="00AC4356"/>
    <w:rsid w:val="00AC4511"/>
    <w:rsid w:val="00AC4664"/>
    <w:rsid w:val="00AC6061"/>
    <w:rsid w:val="00AD1510"/>
    <w:rsid w:val="00AD225D"/>
    <w:rsid w:val="00AD69B6"/>
    <w:rsid w:val="00AE2E1B"/>
    <w:rsid w:val="00AE4080"/>
    <w:rsid w:val="00AE4F60"/>
    <w:rsid w:val="00AE5AF7"/>
    <w:rsid w:val="00AE69D6"/>
    <w:rsid w:val="00AE746E"/>
    <w:rsid w:val="00AE7DF3"/>
    <w:rsid w:val="00AF029B"/>
    <w:rsid w:val="00AF0BEA"/>
    <w:rsid w:val="00AF54E3"/>
    <w:rsid w:val="00AF6BB0"/>
    <w:rsid w:val="00AF7140"/>
    <w:rsid w:val="00B0493F"/>
    <w:rsid w:val="00B05E11"/>
    <w:rsid w:val="00B10D0A"/>
    <w:rsid w:val="00B114C0"/>
    <w:rsid w:val="00B144BE"/>
    <w:rsid w:val="00B147D4"/>
    <w:rsid w:val="00B15492"/>
    <w:rsid w:val="00B16589"/>
    <w:rsid w:val="00B171E0"/>
    <w:rsid w:val="00B204D5"/>
    <w:rsid w:val="00B22AB0"/>
    <w:rsid w:val="00B2345B"/>
    <w:rsid w:val="00B2357A"/>
    <w:rsid w:val="00B26595"/>
    <w:rsid w:val="00B3020A"/>
    <w:rsid w:val="00B318FC"/>
    <w:rsid w:val="00B34DEB"/>
    <w:rsid w:val="00B37858"/>
    <w:rsid w:val="00B4116A"/>
    <w:rsid w:val="00B41E21"/>
    <w:rsid w:val="00B42571"/>
    <w:rsid w:val="00B4447A"/>
    <w:rsid w:val="00B44598"/>
    <w:rsid w:val="00B44D91"/>
    <w:rsid w:val="00B462F9"/>
    <w:rsid w:val="00B46562"/>
    <w:rsid w:val="00B47CCD"/>
    <w:rsid w:val="00B5093D"/>
    <w:rsid w:val="00B54518"/>
    <w:rsid w:val="00B566C0"/>
    <w:rsid w:val="00B613C6"/>
    <w:rsid w:val="00B613CE"/>
    <w:rsid w:val="00B625E5"/>
    <w:rsid w:val="00B64D27"/>
    <w:rsid w:val="00B65734"/>
    <w:rsid w:val="00B67BD5"/>
    <w:rsid w:val="00B67E64"/>
    <w:rsid w:val="00B70318"/>
    <w:rsid w:val="00B70661"/>
    <w:rsid w:val="00B7117D"/>
    <w:rsid w:val="00B7478F"/>
    <w:rsid w:val="00B74D08"/>
    <w:rsid w:val="00B7540A"/>
    <w:rsid w:val="00B802A8"/>
    <w:rsid w:val="00B86064"/>
    <w:rsid w:val="00B86BDF"/>
    <w:rsid w:val="00B911F1"/>
    <w:rsid w:val="00B91488"/>
    <w:rsid w:val="00B928D6"/>
    <w:rsid w:val="00B937E9"/>
    <w:rsid w:val="00B94857"/>
    <w:rsid w:val="00B948B0"/>
    <w:rsid w:val="00B95C42"/>
    <w:rsid w:val="00B97273"/>
    <w:rsid w:val="00B97D2B"/>
    <w:rsid w:val="00BA0289"/>
    <w:rsid w:val="00BA0818"/>
    <w:rsid w:val="00BA1A85"/>
    <w:rsid w:val="00BA60DD"/>
    <w:rsid w:val="00BA78F7"/>
    <w:rsid w:val="00BB3D58"/>
    <w:rsid w:val="00BB6D2F"/>
    <w:rsid w:val="00BC3013"/>
    <w:rsid w:val="00BC5A6B"/>
    <w:rsid w:val="00BC6384"/>
    <w:rsid w:val="00BC6386"/>
    <w:rsid w:val="00BC6A2A"/>
    <w:rsid w:val="00BD1A1B"/>
    <w:rsid w:val="00BD2AB6"/>
    <w:rsid w:val="00BD2F81"/>
    <w:rsid w:val="00BD478C"/>
    <w:rsid w:val="00BD4F94"/>
    <w:rsid w:val="00BE2133"/>
    <w:rsid w:val="00BE2C61"/>
    <w:rsid w:val="00BE3134"/>
    <w:rsid w:val="00BE3D1A"/>
    <w:rsid w:val="00BF22FA"/>
    <w:rsid w:val="00BF45C6"/>
    <w:rsid w:val="00BF4F48"/>
    <w:rsid w:val="00BF68C7"/>
    <w:rsid w:val="00C00BBD"/>
    <w:rsid w:val="00C019D3"/>
    <w:rsid w:val="00C0212C"/>
    <w:rsid w:val="00C03947"/>
    <w:rsid w:val="00C05647"/>
    <w:rsid w:val="00C12064"/>
    <w:rsid w:val="00C1271E"/>
    <w:rsid w:val="00C167E5"/>
    <w:rsid w:val="00C2049F"/>
    <w:rsid w:val="00C24739"/>
    <w:rsid w:val="00C26C6F"/>
    <w:rsid w:val="00C2749D"/>
    <w:rsid w:val="00C27998"/>
    <w:rsid w:val="00C309A8"/>
    <w:rsid w:val="00C31DBA"/>
    <w:rsid w:val="00C33473"/>
    <w:rsid w:val="00C33C3C"/>
    <w:rsid w:val="00C34276"/>
    <w:rsid w:val="00C34945"/>
    <w:rsid w:val="00C34F25"/>
    <w:rsid w:val="00C35ED4"/>
    <w:rsid w:val="00C40227"/>
    <w:rsid w:val="00C42542"/>
    <w:rsid w:val="00C42CED"/>
    <w:rsid w:val="00C43F05"/>
    <w:rsid w:val="00C4535A"/>
    <w:rsid w:val="00C5110F"/>
    <w:rsid w:val="00C55FA5"/>
    <w:rsid w:val="00C577D1"/>
    <w:rsid w:val="00C57BB9"/>
    <w:rsid w:val="00C61F56"/>
    <w:rsid w:val="00C63475"/>
    <w:rsid w:val="00C63E6E"/>
    <w:rsid w:val="00C64E15"/>
    <w:rsid w:val="00C65793"/>
    <w:rsid w:val="00C657AC"/>
    <w:rsid w:val="00C671A0"/>
    <w:rsid w:val="00C67781"/>
    <w:rsid w:val="00C71085"/>
    <w:rsid w:val="00C737D3"/>
    <w:rsid w:val="00C75740"/>
    <w:rsid w:val="00C77F6B"/>
    <w:rsid w:val="00C809DB"/>
    <w:rsid w:val="00C81184"/>
    <w:rsid w:val="00C844B4"/>
    <w:rsid w:val="00C865C3"/>
    <w:rsid w:val="00C87ECE"/>
    <w:rsid w:val="00C90AF6"/>
    <w:rsid w:val="00C90CE5"/>
    <w:rsid w:val="00C916C9"/>
    <w:rsid w:val="00C91B91"/>
    <w:rsid w:val="00C9280B"/>
    <w:rsid w:val="00C92E5A"/>
    <w:rsid w:val="00C95851"/>
    <w:rsid w:val="00CA047D"/>
    <w:rsid w:val="00CA0F20"/>
    <w:rsid w:val="00CA35F4"/>
    <w:rsid w:val="00CA4CB4"/>
    <w:rsid w:val="00CA571B"/>
    <w:rsid w:val="00CA6914"/>
    <w:rsid w:val="00CA7693"/>
    <w:rsid w:val="00CA7A97"/>
    <w:rsid w:val="00CB28DF"/>
    <w:rsid w:val="00CB3753"/>
    <w:rsid w:val="00CB458C"/>
    <w:rsid w:val="00CB4C67"/>
    <w:rsid w:val="00CC2B68"/>
    <w:rsid w:val="00CC4449"/>
    <w:rsid w:val="00CC641E"/>
    <w:rsid w:val="00CC7791"/>
    <w:rsid w:val="00CC7F96"/>
    <w:rsid w:val="00CD11E0"/>
    <w:rsid w:val="00CD526E"/>
    <w:rsid w:val="00CD71A3"/>
    <w:rsid w:val="00CD764D"/>
    <w:rsid w:val="00CE1FB4"/>
    <w:rsid w:val="00CE2F30"/>
    <w:rsid w:val="00CE5A3E"/>
    <w:rsid w:val="00CF1432"/>
    <w:rsid w:val="00CF2515"/>
    <w:rsid w:val="00CF2E7A"/>
    <w:rsid w:val="00CF34ED"/>
    <w:rsid w:val="00CF3615"/>
    <w:rsid w:val="00CF402C"/>
    <w:rsid w:val="00CF47AE"/>
    <w:rsid w:val="00CF5FC2"/>
    <w:rsid w:val="00CF6228"/>
    <w:rsid w:val="00D006EE"/>
    <w:rsid w:val="00D02930"/>
    <w:rsid w:val="00D02B58"/>
    <w:rsid w:val="00D03519"/>
    <w:rsid w:val="00D03FD3"/>
    <w:rsid w:val="00D04799"/>
    <w:rsid w:val="00D067EB"/>
    <w:rsid w:val="00D06B50"/>
    <w:rsid w:val="00D124B5"/>
    <w:rsid w:val="00D128CB"/>
    <w:rsid w:val="00D146DA"/>
    <w:rsid w:val="00D1732A"/>
    <w:rsid w:val="00D17D93"/>
    <w:rsid w:val="00D20AA6"/>
    <w:rsid w:val="00D2163A"/>
    <w:rsid w:val="00D2315F"/>
    <w:rsid w:val="00D24874"/>
    <w:rsid w:val="00D259B3"/>
    <w:rsid w:val="00D26CAE"/>
    <w:rsid w:val="00D3320B"/>
    <w:rsid w:val="00D340CA"/>
    <w:rsid w:val="00D340DB"/>
    <w:rsid w:val="00D37045"/>
    <w:rsid w:val="00D3793E"/>
    <w:rsid w:val="00D401D2"/>
    <w:rsid w:val="00D47951"/>
    <w:rsid w:val="00D47B31"/>
    <w:rsid w:val="00D50BDE"/>
    <w:rsid w:val="00D5111F"/>
    <w:rsid w:val="00D51D67"/>
    <w:rsid w:val="00D5334B"/>
    <w:rsid w:val="00D5580C"/>
    <w:rsid w:val="00D55902"/>
    <w:rsid w:val="00D56FE0"/>
    <w:rsid w:val="00D656B2"/>
    <w:rsid w:val="00D6666B"/>
    <w:rsid w:val="00D72F55"/>
    <w:rsid w:val="00D757F2"/>
    <w:rsid w:val="00D75B1D"/>
    <w:rsid w:val="00D77976"/>
    <w:rsid w:val="00D8317E"/>
    <w:rsid w:val="00D844BC"/>
    <w:rsid w:val="00D852AE"/>
    <w:rsid w:val="00D9122B"/>
    <w:rsid w:val="00D94064"/>
    <w:rsid w:val="00D97A63"/>
    <w:rsid w:val="00DA5FBE"/>
    <w:rsid w:val="00DA7670"/>
    <w:rsid w:val="00DB3930"/>
    <w:rsid w:val="00DB69D0"/>
    <w:rsid w:val="00DB6D9C"/>
    <w:rsid w:val="00DB767C"/>
    <w:rsid w:val="00DB7B2A"/>
    <w:rsid w:val="00DC0F92"/>
    <w:rsid w:val="00DC1205"/>
    <w:rsid w:val="00DC2051"/>
    <w:rsid w:val="00DC2B77"/>
    <w:rsid w:val="00DC405B"/>
    <w:rsid w:val="00DC4598"/>
    <w:rsid w:val="00DC483F"/>
    <w:rsid w:val="00DC4B2F"/>
    <w:rsid w:val="00DD0A84"/>
    <w:rsid w:val="00DD2581"/>
    <w:rsid w:val="00DD5745"/>
    <w:rsid w:val="00DD5795"/>
    <w:rsid w:val="00DD6987"/>
    <w:rsid w:val="00DD75A5"/>
    <w:rsid w:val="00DE188E"/>
    <w:rsid w:val="00DE48D8"/>
    <w:rsid w:val="00DF1355"/>
    <w:rsid w:val="00DF1802"/>
    <w:rsid w:val="00DF2336"/>
    <w:rsid w:val="00DF33A0"/>
    <w:rsid w:val="00DF5C5A"/>
    <w:rsid w:val="00DF69F6"/>
    <w:rsid w:val="00DF6C84"/>
    <w:rsid w:val="00E05913"/>
    <w:rsid w:val="00E07D8F"/>
    <w:rsid w:val="00E07DD3"/>
    <w:rsid w:val="00E1093F"/>
    <w:rsid w:val="00E1197C"/>
    <w:rsid w:val="00E11D9E"/>
    <w:rsid w:val="00E121D9"/>
    <w:rsid w:val="00E140AE"/>
    <w:rsid w:val="00E144A0"/>
    <w:rsid w:val="00E1659A"/>
    <w:rsid w:val="00E16C1B"/>
    <w:rsid w:val="00E20906"/>
    <w:rsid w:val="00E21FE9"/>
    <w:rsid w:val="00E24249"/>
    <w:rsid w:val="00E253FB"/>
    <w:rsid w:val="00E31843"/>
    <w:rsid w:val="00E31B79"/>
    <w:rsid w:val="00E325D0"/>
    <w:rsid w:val="00E33A66"/>
    <w:rsid w:val="00E33AF2"/>
    <w:rsid w:val="00E41834"/>
    <w:rsid w:val="00E42AA1"/>
    <w:rsid w:val="00E4501B"/>
    <w:rsid w:val="00E502DF"/>
    <w:rsid w:val="00E53213"/>
    <w:rsid w:val="00E53492"/>
    <w:rsid w:val="00E534C8"/>
    <w:rsid w:val="00E5649A"/>
    <w:rsid w:val="00E576B7"/>
    <w:rsid w:val="00E605FC"/>
    <w:rsid w:val="00E60B11"/>
    <w:rsid w:val="00E60D4D"/>
    <w:rsid w:val="00E642A4"/>
    <w:rsid w:val="00E66CE9"/>
    <w:rsid w:val="00E674AF"/>
    <w:rsid w:val="00E73EFA"/>
    <w:rsid w:val="00E753D7"/>
    <w:rsid w:val="00E76A86"/>
    <w:rsid w:val="00E775C4"/>
    <w:rsid w:val="00E82673"/>
    <w:rsid w:val="00E87A31"/>
    <w:rsid w:val="00E90807"/>
    <w:rsid w:val="00E92357"/>
    <w:rsid w:val="00E94089"/>
    <w:rsid w:val="00E959F7"/>
    <w:rsid w:val="00E95D90"/>
    <w:rsid w:val="00E965B1"/>
    <w:rsid w:val="00EA1809"/>
    <w:rsid w:val="00EA37FF"/>
    <w:rsid w:val="00EA456D"/>
    <w:rsid w:val="00EA67A2"/>
    <w:rsid w:val="00EA74D0"/>
    <w:rsid w:val="00EB48CE"/>
    <w:rsid w:val="00EB6959"/>
    <w:rsid w:val="00EB76F1"/>
    <w:rsid w:val="00EC1C23"/>
    <w:rsid w:val="00EC2CA1"/>
    <w:rsid w:val="00EC6461"/>
    <w:rsid w:val="00EC793E"/>
    <w:rsid w:val="00EC7B89"/>
    <w:rsid w:val="00ED05B3"/>
    <w:rsid w:val="00ED18B5"/>
    <w:rsid w:val="00ED1EE0"/>
    <w:rsid w:val="00ED21A7"/>
    <w:rsid w:val="00ED4922"/>
    <w:rsid w:val="00ED5EA2"/>
    <w:rsid w:val="00ED60A5"/>
    <w:rsid w:val="00EE0CE0"/>
    <w:rsid w:val="00EE1329"/>
    <w:rsid w:val="00EE30F5"/>
    <w:rsid w:val="00EF28D1"/>
    <w:rsid w:val="00EF4116"/>
    <w:rsid w:val="00EF46D8"/>
    <w:rsid w:val="00EF5D06"/>
    <w:rsid w:val="00F00E4A"/>
    <w:rsid w:val="00F00F30"/>
    <w:rsid w:val="00F01A93"/>
    <w:rsid w:val="00F050D0"/>
    <w:rsid w:val="00F06C16"/>
    <w:rsid w:val="00F0704C"/>
    <w:rsid w:val="00F1497F"/>
    <w:rsid w:val="00F154F1"/>
    <w:rsid w:val="00F177D0"/>
    <w:rsid w:val="00F177F3"/>
    <w:rsid w:val="00F20458"/>
    <w:rsid w:val="00F20CB7"/>
    <w:rsid w:val="00F22602"/>
    <w:rsid w:val="00F22C41"/>
    <w:rsid w:val="00F236F7"/>
    <w:rsid w:val="00F24089"/>
    <w:rsid w:val="00F25381"/>
    <w:rsid w:val="00F25933"/>
    <w:rsid w:val="00F25AF2"/>
    <w:rsid w:val="00F265EE"/>
    <w:rsid w:val="00F26D06"/>
    <w:rsid w:val="00F26FAE"/>
    <w:rsid w:val="00F270F9"/>
    <w:rsid w:val="00F315E6"/>
    <w:rsid w:val="00F324B3"/>
    <w:rsid w:val="00F32898"/>
    <w:rsid w:val="00F338B4"/>
    <w:rsid w:val="00F34E74"/>
    <w:rsid w:val="00F37CA7"/>
    <w:rsid w:val="00F41D54"/>
    <w:rsid w:val="00F4276C"/>
    <w:rsid w:val="00F43A26"/>
    <w:rsid w:val="00F449A6"/>
    <w:rsid w:val="00F44D32"/>
    <w:rsid w:val="00F45D09"/>
    <w:rsid w:val="00F45E5F"/>
    <w:rsid w:val="00F4722E"/>
    <w:rsid w:val="00F47439"/>
    <w:rsid w:val="00F5258B"/>
    <w:rsid w:val="00F54787"/>
    <w:rsid w:val="00F552FF"/>
    <w:rsid w:val="00F61398"/>
    <w:rsid w:val="00F64238"/>
    <w:rsid w:val="00F6469F"/>
    <w:rsid w:val="00F7315F"/>
    <w:rsid w:val="00F7700D"/>
    <w:rsid w:val="00F80C9C"/>
    <w:rsid w:val="00F8663E"/>
    <w:rsid w:val="00F87BBB"/>
    <w:rsid w:val="00F87E97"/>
    <w:rsid w:val="00F901D8"/>
    <w:rsid w:val="00F91C5A"/>
    <w:rsid w:val="00F92765"/>
    <w:rsid w:val="00F93692"/>
    <w:rsid w:val="00F9422D"/>
    <w:rsid w:val="00F94987"/>
    <w:rsid w:val="00F96D0B"/>
    <w:rsid w:val="00FA0EC1"/>
    <w:rsid w:val="00FA182A"/>
    <w:rsid w:val="00FA190A"/>
    <w:rsid w:val="00FA502C"/>
    <w:rsid w:val="00FB052C"/>
    <w:rsid w:val="00FB06F8"/>
    <w:rsid w:val="00FB1353"/>
    <w:rsid w:val="00FB4546"/>
    <w:rsid w:val="00FB66D0"/>
    <w:rsid w:val="00FC7783"/>
    <w:rsid w:val="00FD01D8"/>
    <w:rsid w:val="00FD04D4"/>
    <w:rsid w:val="00FD3E43"/>
    <w:rsid w:val="00FD4BEE"/>
    <w:rsid w:val="00FD68B1"/>
    <w:rsid w:val="00FD7F35"/>
    <w:rsid w:val="00FE0D40"/>
    <w:rsid w:val="00FE328C"/>
    <w:rsid w:val="00FE39A8"/>
    <w:rsid w:val="00FE3E7D"/>
    <w:rsid w:val="00FE5683"/>
    <w:rsid w:val="00FE5F33"/>
    <w:rsid w:val="00FE6164"/>
    <w:rsid w:val="00FE69D7"/>
    <w:rsid w:val="00FE7620"/>
    <w:rsid w:val="00FF20EB"/>
    <w:rsid w:val="00FF3AAE"/>
    <w:rsid w:val="00FF6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847F17E"/>
  <w15:docId w15:val="{C3AC92D6-7621-4E3A-A671-9F815B427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5734"/>
    <w:rPr>
      <w:sz w:val="24"/>
      <w:szCs w:val="24"/>
    </w:rPr>
  </w:style>
  <w:style w:type="paragraph" w:styleId="Heading1">
    <w:name w:val="heading 1"/>
    <w:basedOn w:val="Normal"/>
    <w:next w:val="Normal"/>
    <w:qFormat/>
    <w:rsid w:val="00B65734"/>
    <w:pPr>
      <w:keepNext/>
      <w:outlineLvl w:val="0"/>
    </w:pPr>
    <w:rPr>
      <w:rFonts w:ascii="Arial Narrow" w:hAnsi="Arial Narrow"/>
      <w:b/>
      <w:bCs/>
      <w:sz w:val="20"/>
    </w:rPr>
  </w:style>
  <w:style w:type="paragraph" w:styleId="Heading2">
    <w:name w:val="heading 2"/>
    <w:basedOn w:val="Normal"/>
    <w:next w:val="Normal"/>
    <w:qFormat/>
    <w:rsid w:val="00B65734"/>
    <w:pPr>
      <w:keepNext/>
      <w:outlineLvl w:val="1"/>
    </w:pPr>
    <w:rPr>
      <w:rFonts w:ascii="Arial Narrow" w:hAnsi="Arial Narrow"/>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65734"/>
    <w:pPr>
      <w:jc w:val="center"/>
    </w:pPr>
    <w:rPr>
      <w:rFonts w:ascii="Arial" w:hAnsi="Arial"/>
      <w:b/>
      <w:bCs/>
      <w:sz w:val="22"/>
    </w:rPr>
  </w:style>
  <w:style w:type="paragraph" w:styleId="BodyText">
    <w:name w:val="Body Text"/>
    <w:basedOn w:val="Normal"/>
    <w:uiPriority w:val="1"/>
    <w:qFormat/>
    <w:rsid w:val="00B65734"/>
    <w:pPr>
      <w:autoSpaceDE w:val="0"/>
      <w:autoSpaceDN w:val="0"/>
      <w:adjustRightInd w:val="0"/>
    </w:pPr>
    <w:rPr>
      <w:rFonts w:ascii="Arial Narrow" w:hAnsi="Arial Narrow" w:cs="Courier New"/>
      <w:sz w:val="20"/>
      <w:szCs w:val="20"/>
    </w:rPr>
  </w:style>
  <w:style w:type="paragraph" w:styleId="Header">
    <w:name w:val="header"/>
    <w:basedOn w:val="Normal"/>
    <w:rsid w:val="00B65734"/>
    <w:pPr>
      <w:widowControl w:val="0"/>
      <w:tabs>
        <w:tab w:val="center" w:pos="4320"/>
        <w:tab w:val="right" w:pos="8640"/>
      </w:tabs>
    </w:pPr>
    <w:rPr>
      <w:rFonts w:ascii="Courier" w:hAnsi="Courier"/>
      <w:snapToGrid w:val="0"/>
      <w:szCs w:val="20"/>
    </w:rPr>
  </w:style>
  <w:style w:type="paragraph" w:styleId="BodyTextIndent">
    <w:name w:val="Body Text Indent"/>
    <w:basedOn w:val="Normal"/>
    <w:semiHidden/>
    <w:rsid w:val="00B65734"/>
    <w:pPr>
      <w:tabs>
        <w:tab w:val="left" w:pos="0"/>
        <w:tab w:val="left" w:pos="1800"/>
        <w:tab w:val="left" w:pos="2520"/>
        <w:tab w:val="left" w:pos="3240"/>
        <w:tab w:val="left" w:pos="3960"/>
        <w:tab w:val="left" w:pos="4680"/>
        <w:tab w:val="left" w:pos="5400"/>
        <w:tab w:val="left" w:pos="6120"/>
        <w:tab w:val="left" w:pos="6840"/>
        <w:tab w:val="left" w:pos="7560"/>
        <w:tab w:val="left" w:pos="8280"/>
        <w:tab w:val="left" w:pos="9000"/>
      </w:tabs>
      <w:ind w:left="720"/>
    </w:pPr>
    <w:rPr>
      <w:snapToGrid w:val="0"/>
      <w:szCs w:val="20"/>
    </w:rPr>
  </w:style>
  <w:style w:type="paragraph" w:customStyle="1" w:styleId="Level1">
    <w:name w:val="Level 1"/>
    <w:basedOn w:val="Normal"/>
    <w:rsid w:val="00B65734"/>
    <w:pPr>
      <w:widowControl w:val="0"/>
      <w:numPr>
        <w:numId w:val="1"/>
      </w:numPr>
      <w:ind w:left="720" w:hanging="720"/>
      <w:outlineLvl w:val="0"/>
    </w:pPr>
    <w:rPr>
      <w:snapToGrid w:val="0"/>
      <w:szCs w:val="20"/>
    </w:rPr>
  </w:style>
  <w:style w:type="paragraph" w:styleId="BodyText2">
    <w:name w:val="Body Text 2"/>
    <w:basedOn w:val="Normal"/>
    <w:semiHidden/>
    <w:rsid w:val="00B65734"/>
    <w:pPr>
      <w:autoSpaceDE w:val="0"/>
      <w:autoSpaceDN w:val="0"/>
      <w:adjustRightInd w:val="0"/>
    </w:pPr>
    <w:rPr>
      <w:rFonts w:ascii="Arial Narrow" w:hAnsi="Arial Narrow" w:cs="Courier New"/>
      <w:sz w:val="22"/>
      <w:szCs w:val="20"/>
    </w:rPr>
  </w:style>
  <w:style w:type="paragraph" w:styleId="BodyText3">
    <w:name w:val="Body Text 3"/>
    <w:basedOn w:val="Normal"/>
    <w:semiHidden/>
    <w:rsid w:val="00B65734"/>
    <w:pPr>
      <w:widowControl w:val="0"/>
      <w:jc w:val="both"/>
    </w:pPr>
    <w:rPr>
      <w:rFonts w:ascii="Arial Narrow" w:hAnsi="Arial Narrow"/>
      <w:snapToGrid w:val="0"/>
      <w:color w:val="000000"/>
      <w:sz w:val="22"/>
    </w:rPr>
  </w:style>
  <w:style w:type="character" w:styleId="PageNumber">
    <w:name w:val="page number"/>
    <w:basedOn w:val="DefaultParagraphFont"/>
    <w:semiHidden/>
    <w:rsid w:val="00B65734"/>
  </w:style>
  <w:style w:type="paragraph" w:styleId="BodyTextIndent2">
    <w:name w:val="Body Text Indent 2"/>
    <w:basedOn w:val="Normal"/>
    <w:semiHidden/>
    <w:rsid w:val="00B65734"/>
    <w:pPr>
      <w:ind w:left="720"/>
    </w:pPr>
  </w:style>
  <w:style w:type="paragraph" w:styleId="Footer">
    <w:name w:val="footer"/>
    <w:basedOn w:val="Normal"/>
    <w:semiHidden/>
    <w:rsid w:val="00B65734"/>
    <w:pPr>
      <w:tabs>
        <w:tab w:val="center" w:pos="4320"/>
        <w:tab w:val="right" w:pos="8640"/>
      </w:tabs>
    </w:pPr>
  </w:style>
  <w:style w:type="paragraph" w:styleId="NormalWeb">
    <w:name w:val="Normal (Web)"/>
    <w:basedOn w:val="Normal"/>
    <w:link w:val="NormalWebChar"/>
    <w:uiPriority w:val="99"/>
    <w:semiHidden/>
    <w:rsid w:val="00B65734"/>
    <w:pPr>
      <w:spacing w:before="100" w:beforeAutospacing="1" w:after="100" w:afterAutospacing="1"/>
    </w:pPr>
    <w:rPr>
      <w:rFonts w:ascii="Arial Unicode MS" w:eastAsia="Arial Unicode MS" w:hAnsi="Arial Unicode MS" w:cs="Arial Unicode MS"/>
    </w:rPr>
  </w:style>
  <w:style w:type="paragraph" w:styleId="Subtitle">
    <w:name w:val="Subtitle"/>
    <w:basedOn w:val="Normal"/>
    <w:qFormat/>
    <w:rsid w:val="00B65734"/>
    <w:pPr>
      <w:jc w:val="center"/>
    </w:pPr>
    <w:rPr>
      <w:rFonts w:ascii="Arial" w:hAnsi="Arial"/>
      <w:b/>
      <w:sz w:val="32"/>
      <w:szCs w:val="20"/>
    </w:rPr>
  </w:style>
  <w:style w:type="paragraph" w:customStyle="1" w:styleId="btext">
    <w:name w:val="btext"/>
    <w:rsid w:val="00B65734"/>
    <w:pPr>
      <w:tabs>
        <w:tab w:val="left" w:pos="547"/>
      </w:tabs>
      <w:spacing w:before="240" w:line="480" w:lineRule="auto"/>
      <w:jc w:val="both"/>
    </w:pPr>
    <w:rPr>
      <w:sz w:val="24"/>
    </w:rPr>
  </w:style>
  <w:style w:type="paragraph" w:styleId="BodyTextIndent3">
    <w:name w:val="Body Text Indent 3"/>
    <w:basedOn w:val="Normal"/>
    <w:semiHidden/>
    <w:rsid w:val="00B65734"/>
    <w:pPr>
      <w:spacing w:after="120"/>
      <w:ind w:firstLine="720"/>
      <w:jc w:val="both"/>
    </w:pPr>
    <w:rPr>
      <w:rFonts w:ascii="Bookman Old Style" w:hAnsi="Bookman Old Style"/>
      <w:kern w:val="28"/>
      <w:sz w:val="22"/>
      <w:szCs w:val="20"/>
    </w:rPr>
  </w:style>
  <w:style w:type="character" w:styleId="Hyperlink">
    <w:name w:val="Hyperlink"/>
    <w:basedOn w:val="DefaultParagraphFont"/>
    <w:rsid w:val="00B948B0"/>
    <w:rPr>
      <w:color w:val="0000FF"/>
      <w:u w:val="single"/>
    </w:rPr>
  </w:style>
  <w:style w:type="paragraph" w:customStyle="1" w:styleId="default">
    <w:name w:val="default"/>
    <w:basedOn w:val="Normal"/>
    <w:rsid w:val="00E60D4D"/>
    <w:pPr>
      <w:spacing w:before="100" w:beforeAutospacing="1" w:after="100" w:afterAutospacing="1"/>
    </w:pPr>
    <w:rPr>
      <w:rFonts w:eastAsia="Calibri"/>
    </w:rPr>
  </w:style>
  <w:style w:type="paragraph" w:styleId="PlainText">
    <w:name w:val="Plain Text"/>
    <w:basedOn w:val="Normal"/>
    <w:link w:val="PlainTextChar"/>
    <w:uiPriority w:val="99"/>
    <w:unhideWhenUsed/>
    <w:rsid w:val="009812BF"/>
    <w:rPr>
      <w:rFonts w:ascii="Consolas" w:eastAsia="Calibri" w:hAnsi="Consolas"/>
      <w:sz w:val="21"/>
      <w:szCs w:val="21"/>
    </w:rPr>
  </w:style>
  <w:style w:type="character" w:customStyle="1" w:styleId="PlainTextChar">
    <w:name w:val="Plain Text Char"/>
    <w:basedOn w:val="DefaultParagraphFont"/>
    <w:link w:val="PlainText"/>
    <w:uiPriority w:val="99"/>
    <w:rsid w:val="009812BF"/>
    <w:rPr>
      <w:rFonts w:ascii="Consolas" w:eastAsia="Calibri" w:hAnsi="Consolas" w:cs="Times New Roman"/>
      <w:sz w:val="21"/>
      <w:szCs w:val="21"/>
    </w:rPr>
  </w:style>
  <w:style w:type="paragraph" w:styleId="ListParagraph">
    <w:name w:val="List Paragraph"/>
    <w:basedOn w:val="Normal"/>
    <w:uiPriority w:val="34"/>
    <w:qFormat/>
    <w:rsid w:val="00C865C3"/>
    <w:pPr>
      <w:ind w:left="720"/>
    </w:pPr>
  </w:style>
  <w:style w:type="character" w:customStyle="1" w:styleId="yshortcuts">
    <w:name w:val="yshortcuts"/>
    <w:basedOn w:val="DefaultParagraphFont"/>
    <w:rsid w:val="00A73166"/>
  </w:style>
  <w:style w:type="paragraph" w:customStyle="1" w:styleId="Default0">
    <w:name w:val="Default"/>
    <w:rsid w:val="00124788"/>
    <w:pPr>
      <w:autoSpaceDE w:val="0"/>
      <w:autoSpaceDN w:val="0"/>
      <w:adjustRightInd w:val="0"/>
    </w:pPr>
    <w:rPr>
      <w:rFonts w:eastAsia="Calibri"/>
      <w:color w:val="000000"/>
      <w:sz w:val="24"/>
      <w:szCs w:val="24"/>
    </w:rPr>
  </w:style>
  <w:style w:type="paragraph" w:styleId="NoSpacing">
    <w:name w:val="No Spacing"/>
    <w:uiPriority w:val="1"/>
    <w:qFormat/>
    <w:rsid w:val="00124788"/>
    <w:rPr>
      <w:rFonts w:ascii="Arial" w:eastAsia="Calibri" w:hAnsi="Arial"/>
      <w:sz w:val="22"/>
      <w:szCs w:val="22"/>
    </w:rPr>
  </w:style>
  <w:style w:type="paragraph" w:styleId="ListNumber">
    <w:name w:val="List Number"/>
    <w:basedOn w:val="Normal"/>
    <w:uiPriority w:val="99"/>
    <w:semiHidden/>
    <w:unhideWhenUsed/>
    <w:rsid w:val="00DC4B2F"/>
    <w:pPr>
      <w:numPr>
        <w:numId w:val="2"/>
      </w:numPr>
    </w:pPr>
    <w:rPr>
      <w:rFonts w:eastAsia="Calibri"/>
      <w:sz w:val="20"/>
      <w:szCs w:val="20"/>
    </w:rPr>
  </w:style>
  <w:style w:type="character" w:customStyle="1" w:styleId="NormalWebChar">
    <w:name w:val="Normal (Web) Char"/>
    <w:basedOn w:val="DefaultParagraphFont"/>
    <w:link w:val="NormalWeb"/>
    <w:uiPriority w:val="99"/>
    <w:semiHidden/>
    <w:locked/>
    <w:rsid w:val="00DB3930"/>
    <w:rPr>
      <w:rFonts w:ascii="Arial Unicode MS" w:eastAsia="Arial Unicode MS" w:hAnsi="Arial Unicode MS" w:cs="Arial Unicode MS"/>
      <w:sz w:val="24"/>
      <w:szCs w:val="24"/>
    </w:rPr>
  </w:style>
  <w:style w:type="paragraph" w:customStyle="1" w:styleId="TxBrt1">
    <w:name w:val="TxBr_t1"/>
    <w:basedOn w:val="Normal"/>
    <w:uiPriority w:val="99"/>
    <w:rsid w:val="00585E5A"/>
    <w:pPr>
      <w:snapToGrid w:val="0"/>
      <w:spacing w:line="240" w:lineRule="atLeast"/>
    </w:pPr>
    <w:rPr>
      <w:rFonts w:eastAsiaTheme="minorHAnsi"/>
    </w:rPr>
  </w:style>
  <w:style w:type="paragraph" w:styleId="BalloonText">
    <w:name w:val="Balloon Text"/>
    <w:basedOn w:val="Normal"/>
    <w:link w:val="BalloonTextChar"/>
    <w:uiPriority w:val="99"/>
    <w:semiHidden/>
    <w:unhideWhenUsed/>
    <w:rsid w:val="004E5CC1"/>
    <w:rPr>
      <w:rFonts w:ascii="Tahoma" w:hAnsi="Tahoma" w:cs="Tahoma"/>
      <w:sz w:val="16"/>
      <w:szCs w:val="16"/>
    </w:rPr>
  </w:style>
  <w:style w:type="character" w:customStyle="1" w:styleId="BalloonTextChar">
    <w:name w:val="Balloon Text Char"/>
    <w:basedOn w:val="DefaultParagraphFont"/>
    <w:link w:val="BalloonText"/>
    <w:uiPriority w:val="99"/>
    <w:semiHidden/>
    <w:rsid w:val="004E5CC1"/>
    <w:rPr>
      <w:rFonts w:ascii="Tahoma" w:hAnsi="Tahoma" w:cs="Tahoma"/>
      <w:sz w:val="16"/>
      <w:szCs w:val="16"/>
    </w:rPr>
  </w:style>
  <w:style w:type="paragraph" w:customStyle="1" w:styleId="TableParagraph">
    <w:name w:val="Table Paragraph"/>
    <w:basedOn w:val="Normal"/>
    <w:uiPriority w:val="1"/>
    <w:qFormat/>
    <w:rsid w:val="003A5BE6"/>
    <w:pPr>
      <w:widowControl w:val="0"/>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CF34ED"/>
    <w:rPr>
      <w:sz w:val="16"/>
      <w:szCs w:val="16"/>
    </w:rPr>
  </w:style>
  <w:style w:type="paragraph" w:styleId="CommentText">
    <w:name w:val="annotation text"/>
    <w:basedOn w:val="Normal"/>
    <w:link w:val="CommentTextChar"/>
    <w:uiPriority w:val="99"/>
    <w:semiHidden/>
    <w:unhideWhenUsed/>
    <w:rsid w:val="00CF34ED"/>
    <w:rPr>
      <w:sz w:val="20"/>
      <w:szCs w:val="20"/>
    </w:rPr>
  </w:style>
  <w:style w:type="character" w:customStyle="1" w:styleId="CommentTextChar">
    <w:name w:val="Comment Text Char"/>
    <w:basedOn w:val="DefaultParagraphFont"/>
    <w:link w:val="CommentText"/>
    <w:uiPriority w:val="99"/>
    <w:semiHidden/>
    <w:rsid w:val="00CF34ED"/>
  </w:style>
  <w:style w:type="paragraph" w:styleId="CommentSubject">
    <w:name w:val="annotation subject"/>
    <w:basedOn w:val="CommentText"/>
    <w:next w:val="CommentText"/>
    <w:link w:val="CommentSubjectChar"/>
    <w:uiPriority w:val="99"/>
    <w:semiHidden/>
    <w:unhideWhenUsed/>
    <w:rsid w:val="00CF34ED"/>
    <w:rPr>
      <w:b/>
      <w:bCs/>
    </w:rPr>
  </w:style>
  <w:style w:type="character" w:customStyle="1" w:styleId="CommentSubjectChar">
    <w:name w:val="Comment Subject Char"/>
    <w:basedOn w:val="CommentTextChar"/>
    <w:link w:val="CommentSubject"/>
    <w:uiPriority w:val="99"/>
    <w:semiHidden/>
    <w:rsid w:val="00CF34ED"/>
    <w:rPr>
      <w:b/>
      <w:bCs/>
    </w:rPr>
  </w:style>
  <w:style w:type="character" w:styleId="FollowedHyperlink">
    <w:name w:val="FollowedHyperlink"/>
    <w:basedOn w:val="DefaultParagraphFont"/>
    <w:uiPriority w:val="99"/>
    <w:semiHidden/>
    <w:unhideWhenUsed/>
    <w:rsid w:val="00812A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9427">
      <w:bodyDiv w:val="1"/>
      <w:marLeft w:val="0"/>
      <w:marRight w:val="0"/>
      <w:marTop w:val="0"/>
      <w:marBottom w:val="0"/>
      <w:divBdr>
        <w:top w:val="none" w:sz="0" w:space="0" w:color="auto"/>
        <w:left w:val="none" w:sz="0" w:space="0" w:color="auto"/>
        <w:bottom w:val="none" w:sz="0" w:space="0" w:color="auto"/>
        <w:right w:val="none" w:sz="0" w:space="0" w:color="auto"/>
      </w:divBdr>
    </w:div>
    <w:div w:id="67004340">
      <w:bodyDiv w:val="1"/>
      <w:marLeft w:val="0"/>
      <w:marRight w:val="0"/>
      <w:marTop w:val="0"/>
      <w:marBottom w:val="0"/>
      <w:divBdr>
        <w:top w:val="none" w:sz="0" w:space="0" w:color="auto"/>
        <w:left w:val="none" w:sz="0" w:space="0" w:color="auto"/>
        <w:bottom w:val="none" w:sz="0" w:space="0" w:color="auto"/>
        <w:right w:val="none" w:sz="0" w:space="0" w:color="auto"/>
      </w:divBdr>
    </w:div>
    <w:div w:id="70125794">
      <w:bodyDiv w:val="1"/>
      <w:marLeft w:val="0"/>
      <w:marRight w:val="0"/>
      <w:marTop w:val="0"/>
      <w:marBottom w:val="0"/>
      <w:divBdr>
        <w:top w:val="none" w:sz="0" w:space="0" w:color="auto"/>
        <w:left w:val="none" w:sz="0" w:space="0" w:color="auto"/>
        <w:bottom w:val="none" w:sz="0" w:space="0" w:color="auto"/>
        <w:right w:val="none" w:sz="0" w:space="0" w:color="auto"/>
      </w:divBdr>
    </w:div>
    <w:div w:id="297689470">
      <w:bodyDiv w:val="1"/>
      <w:marLeft w:val="0"/>
      <w:marRight w:val="0"/>
      <w:marTop w:val="0"/>
      <w:marBottom w:val="0"/>
      <w:divBdr>
        <w:top w:val="none" w:sz="0" w:space="0" w:color="auto"/>
        <w:left w:val="none" w:sz="0" w:space="0" w:color="auto"/>
        <w:bottom w:val="none" w:sz="0" w:space="0" w:color="auto"/>
        <w:right w:val="none" w:sz="0" w:space="0" w:color="auto"/>
      </w:divBdr>
    </w:div>
    <w:div w:id="335807948">
      <w:bodyDiv w:val="1"/>
      <w:marLeft w:val="0"/>
      <w:marRight w:val="0"/>
      <w:marTop w:val="0"/>
      <w:marBottom w:val="0"/>
      <w:divBdr>
        <w:top w:val="none" w:sz="0" w:space="0" w:color="auto"/>
        <w:left w:val="none" w:sz="0" w:space="0" w:color="auto"/>
        <w:bottom w:val="none" w:sz="0" w:space="0" w:color="auto"/>
        <w:right w:val="none" w:sz="0" w:space="0" w:color="auto"/>
      </w:divBdr>
    </w:div>
    <w:div w:id="368998073">
      <w:bodyDiv w:val="1"/>
      <w:marLeft w:val="0"/>
      <w:marRight w:val="0"/>
      <w:marTop w:val="0"/>
      <w:marBottom w:val="0"/>
      <w:divBdr>
        <w:top w:val="none" w:sz="0" w:space="0" w:color="auto"/>
        <w:left w:val="none" w:sz="0" w:space="0" w:color="auto"/>
        <w:bottom w:val="none" w:sz="0" w:space="0" w:color="auto"/>
        <w:right w:val="none" w:sz="0" w:space="0" w:color="auto"/>
      </w:divBdr>
    </w:div>
    <w:div w:id="375546763">
      <w:bodyDiv w:val="1"/>
      <w:marLeft w:val="0"/>
      <w:marRight w:val="0"/>
      <w:marTop w:val="0"/>
      <w:marBottom w:val="0"/>
      <w:divBdr>
        <w:top w:val="none" w:sz="0" w:space="0" w:color="auto"/>
        <w:left w:val="none" w:sz="0" w:space="0" w:color="auto"/>
        <w:bottom w:val="none" w:sz="0" w:space="0" w:color="auto"/>
        <w:right w:val="none" w:sz="0" w:space="0" w:color="auto"/>
      </w:divBdr>
    </w:div>
    <w:div w:id="419788773">
      <w:bodyDiv w:val="1"/>
      <w:marLeft w:val="0"/>
      <w:marRight w:val="0"/>
      <w:marTop w:val="0"/>
      <w:marBottom w:val="0"/>
      <w:divBdr>
        <w:top w:val="none" w:sz="0" w:space="0" w:color="auto"/>
        <w:left w:val="none" w:sz="0" w:space="0" w:color="auto"/>
        <w:bottom w:val="none" w:sz="0" w:space="0" w:color="auto"/>
        <w:right w:val="none" w:sz="0" w:space="0" w:color="auto"/>
      </w:divBdr>
    </w:div>
    <w:div w:id="487289473">
      <w:bodyDiv w:val="1"/>
      <w:marLeft w:val="0"/>
      <w:marRight w:val="0"/>
      <w:marTop w:val="0"/>
      <w:marBottom w:val="0"/>
      <w:divBdr>
        <w:top w:val="none" w:sz="0" w:space="0" w:color="auto"/>
        <w:left w:val="none" w:sz="0" w:space="0" w:color="auto"/>
        <w:bottom w:val="none" w:sz="0" w:space="0" w:color="auto"/>
        <w:right w:val="none" w:sz="0" w:space="0" w:color="auto"/>
      </w:divBdr>
    </w:div>
    <w:div w:id="511847113">
      <w:bodyDiv w:val="1"/>
      <w:marLeft w:val="0"/>
      <w:marRight w:val="0"/>
      <w:marTop w:val="0"/>
      <w:marBottom w:val="0"/>
      <w:divBdr>
        <w:top w:val="none" w:sz="0" w:space="0" w:color="auto"/>
        <w:left w:val="none" w:sz="0" w:space="0" w:color="auto"/>
        <w:bottom w:val="none" w:sz="0" w:space="0" w:color="auto"/>
        <w:right w:val="none" w:sz="0" w:space="0" w:color="auto"/>
      </w:divBdr>
    </w:div>
    <w:div w:id="571741602">
      <w:bodyDiv w:val="1"/>
      <w:marLeft w:val="0"/>
      <w:marRight w:val="0"/>
      <w:marTop w:val="0"/>
      <w:marBottom w:val="0"/>
      <w:divBdr>
        <w:top w:val="none" w:sz="0" w:space="0" w:color="auto"/>
        <w:left w:val="none" w:sz="0" w:space="0" w:color="auto"/>
        <w:bottom w:val="none" w:sz="0" w:space="0" w:color="auto"/>
        <w:right w:val="none" w:sz="0" w:space="0" w:color="auto"/>
      </w:divBdr>
    </w:div>
    <w:div w:id="577983718">
      <w:bodyDiv w:val="1"/>
      <w:marLeft w:val="0"/>
      <w:marRight w:val="0"/>
      <w:marTop w:val="0"/>
      <w:marBottom w:val="0"/>
      <w:divBdr>
        <w:top w:val="none" w:sz="0" w:space="0" w:color="auto"/>
        <w:left w:val="none" w:sz="0" w:space="0" w:color="auto"/>
        <w:bottom w:val="none" w:sz="0" w:space="0" w:color="auto"/>
        <w:right w:val="none" w:sz="0" w:space="0" w:color="auto"/>
      </w:divBdr>
    </w:div>
    <w:div w:id="617372904">
      <w:bodyDiv w:val="1"/>
      <w:marLeft w:val="0"/>
      <w:marRight w:val="0"/>
      <w:marTop w:val="0"/>
      <w:marBottom w:val="0"/>
      <w:divBdr>
        <w:top w:val="none" w:sz="0" w:space="0" w:color="auto"/>
        <w:left w:val="none" w:sz="0" w:space="0" w:color="auto"/>
        <w:bottom w:val="none" w:sz="0" w:space="0" w:color="auto"/>
        <w:right w:val="none" w:sz="0" w:space="0" w:color="auto"/>
      </w:divBdr>
    </w:div>
    <w:div w:id="714156916">
      <w:bodyDiv w:val="1"/>
      <w:marLeft w:val="0"/>
      <w:marRight w:val="0"/>
      <w:marTop w:val="0"/>
      <w:marBottom w:val="0"/>
      <w:divBdr>
        <w:top w:val="none" w:sz="0" w:space="0" w:color="auto"/>
        <w:left w:val="none" w:sz="0" w:space="0" w:color="auto"/>
        <w:bottom w:val="none" w:sz="0" w:space="0" w:color="auto"/>
        <w:right w:val="none" w:sz="0" w:space="0" w:color="auto"/>
      </w:divBdr>
    </w:div>
    <w:div w:id="726300993">
      <w:bodyDiv w:val="1"/>
      <w:marLeft w:val="0"/>
      <w:marRight w:val="0"/>
      <w:marTop w:val="0"/>
      <w:marBottom w:val="0"/>
      <w:divBdr>
        <w:top w:val="none" w:sz="0" w:space="0" w:color="auto"/>
        <w:left w:val="none" w:sz="0" w:space="0" w:color="auto"/>
        <w:bottom w:val="none" w:sz="0" w:space="0" w:color="auto"/>
        <w:right w:val="none" w:sz="0" w:space="0" w:color="auto"/>
      </w:divBdr>
    </w:div>
    <w:div w:id="743182930">
      <w:bodyDiv w:val="1"/>
      <w:marLeft w:val="0"/>
      <w:marRight w:val="0"/>
      <w:marTop w:val="0"/>
      <w:marBottom w:val="0"/>
      <w:divBdr>
        <w:top w:val="none" w:sz="0" w:space="0" w:color="auto"/>
        <w:left w:val="none" w:sz="0" w:space="0" w:color="auto"/>
        <w:bottom w:val="none" w:sz="0" w:space="0" w:color="auto"/>
        <w:right w:val="none" w:sz="0" w:space="0" w:color="auto"/>
      </w:divBdr>
    </w:div>
    <w:div w:id="770706990">
      <w:bodyDiv w:val="1"/>
      <w:marLeft w:val="0"/>
      <w:marRight w:val="0"/>
      <w:marTop w:val="0"/>
      <w:marBottom w:val="0"/>
      <w:divBdr>
        <w:top w:val="none" w:sz="0" w:space="0" w:color="auto"/>
        <w:left w:val="none" w:sz="0" w:space="0" w:color="auto"/>
        <w:bottom w:val="none" w:sz="0" w:space="0" w:color="auto"/>
        <w:right w:val="none" w:sz="0" w:space="0" w:color="auto"/>
      </w:divBdr>
    </w:div>
    <w:div w:id="785780212">
      <w:bodyDiv w:val="1"/>
      <w:marLeft w:val="0"/>
      <w:marRight w:val="0"/>
      <w:marTop w:val="0"/>
      <w:marBottom w:val="0"/>
      <w:divBdr>
        <w:top w:val="none" w:sz="0" w:space="0" w:color="auto"/>
        <w:left w:val="none" w:sz="0" w:space="0" w:color="auto"/>
        <w:bottom w:val="none" w:sz="0" w:space="0" w:color="auto"/>
        <w:right w:val="none" w:sz="0" w:space="0" w:color="auto"/>
      </w:divBdr>
    </w:div>
    <w:div w:id="838694629">
      <w:bodyDiv w:val="1"/>
      <w:marLeft w:val="0"/>
      <w:marRight w:val="0"/>
      <w:marTop w:val="0"/>
      <w:marBottom w:val="0"/>
      <w:divBdr>
        <w:top w:val="none" w:sz="0" w:space="0" w:color="auto"/>
        <w:left w:val="none" w:sz="0" w:space="0" w:color="auto"/>
        <w:bottom w:val="none" w:sz="0" w:space="0" w:color="auto"/>
        <w:right w:val="none" w:sz="0" w:space="0" w:color="auto"/>
      </w:divBdr>
    </w:div>
    <w:div w:id="912202561">
      <w:bodyDiv w:val="1"/>
      <w:marLeft w:val="0"/>
      <w:marRight w:val="0"/>
      <w:marTop w:val="0"/>
      <w:marBottom w:val="0"/>
      <w:divBdr>
        <w:top w:val="none" w:sz="0" w:space="0" w:color="auto"/>
        <w:left w:val="none" w:sz="0" w:space="0" w:color="auto"/>
        <w:bottom w:val="none" w:sz="0" w:space="0" w:color="auto"/>
        <w:right w:val="none" w:sz="0" w:space="0" w:color="auto"/>
      </w:divBdr>
    </w:div>
    <w:div w:id="1026834807">
      <w:bodyDiv w:val="1"/>
      <w:marLeft w:val="0"/>
      <w:marRight w:val="0"/>
      <w:marTop w:val="0"/>
      <w:marBottom w:val="0"/>
      <w:divBdr>
        <w:top w:val="none" w:sz="0" w:space="0" w:color="auto"/>
        <w:left w:val="none" w:sz="0" w:space="0" w:color="auto"/>
        <w:bottom w:val="none" w:sz="0" w:space="0" w:color="auto"/>
        <w:right w:val="none" w:sz="0" w:space="0" w:color="auto"/>
      </w:divBdr>
    </w:div>
    <w:div w:id="1028524266">
      <w:bodyDiv w:val="1"/>
      <w:marLeft w:val="0"/>
      <w:marRight w:val="0"/>
      <w:marTop w:val="0"/>
      <w:marBottom w:val="0"/>
      <w:divBdr>
        <w:top w:val="none" w:sz="0" w:space="0" w:color="auto"/>
        <w:left w:val="none" w:sz="0" w:space="0" w:color="auto"/>
        <w:bottom w:val="none" w:sz="0" w:space="0" w:color="auto"/>
        <w:right w:val="none" w:sz="0" w:space="0" w:color="auto"/>
      </w:divBdr>
    </w:div>
    <w:div w:id="1076054188">
      <w:bodyDiv w:val="1"/>
      <w:marLeft w:val="0"/>
      <w:marRight w:val="0"/>
      <w:marTop w:val="0"/>
      <w:marBottom w:val="0"/>
      <w:divBdr>
        <w:top w:val="none" w:sz="0" w:space="0" w:color="auto"/>
        <w:left w:val="none" w:sz="0" w:space="0" w:color="auto"/>
        <w:bottom w:val="none" w:sz="0" w:space="0" w:color="auto"/>
        <w:right w:val="none" w:sz="0" w:space="0" w:color="auto"/>
      </w:divBdr>
    </w:div>
    <w:div w:id="1181703674">
      <w:bodyDiv w:val="1"/>
      <w:marLeft w:val="0"/>
      <w:marRight w:val="0"/>
      <w:marTop w:val="0"/>
      <w:marBottom w:val="0"/>
      <w:divBdr>
        <w:top w:val="none" w:sz="0" w:space="0" w:color="auto"/>
        <w:left w:val="none" w:sz="0" w:space="0" w:color="auto"/>
        <w:bottom w:val="none" w:sz="0" w:space="0" w:color="auto"/>
        <w:right w:val="none" w:sz="0" w:space="0" w:color="auto"/>
      </w:divBdr>
    </w:div>
    <w:div w:id="1258978488">
      <w:bodyDiv w:val="1"/>
      <w:marLeft w:val="0"/>
      <w:marRight w:val="0"/>
      <w:marTop w:val="0"/>
      <w:marBottom w:val="0"/>
      <w:divBdr>
        <w:top w:val="none" w:sz="0" w:space="0" w:color="auto"/>
        <w:left w:val="none" w:sz="0" w:space="0" w:color="auto"/>
        <w:bottom w:val="none" w:sz="0" w:space="0" w:color="auto"/>
        <w:right w:val="none" w:sz="0" w:space="0" w:color="auto"/>
      </w:divBdr>
    </w:div>
    <w:div w:id="1315111352">
      <w:bodyDiv w:val="1"/>
      <w:marLeft w:val="0"/>
      <w:marRight w:val="0"/>
      <w:marTop w:val="0"/>
      <w:marBottom w:val="0"/>
      <w:divBdr>
        <w:top w:val="none" w:sz="0" w:space="0" w:color="auto"/>
        <w:left w:val="none" w:sz="0" w:space="0" w:color="auto"/>
        <w:bottom w:val="none" w:sz="0" w:space="0" w:color="auto"/>
        <w:right w:val="none" w:sz="0" w:space="0" w:color="auto"/>
      </w:divBdr>
    </w:div>
    <w:div w:id="1391030507">
      <w:bodyDiv w:val="1"/>
      <w:marLeft w:val="0"/>
      <w:marRight w:val="0"/>
      <w:marTop w:val="0"/>
      <w:marBottom w:val="0"/>
      <w:divBdr>
        <w:top w:val="none" w:sz="0" w:space="0" w:color="auto"/>
        <w:left w:val="none" w:sz="0" w:space="0" w:color="auto"/>
        <w:bottom w:val="none" w:sz="0" w:space="0" w:color="auto"/>
        <w:right w:val="none" w:sz="0" w:space="0" w:color="auto"/>
      </w:divBdr>
    </w:div>
    <w:div w:id="1400320226">
      <w:bodyDiv w:val="1"/>
      <w:marLeft w:val="0"/>
      <w:marRight w:val="0"/>
      <w:marTop w:val="0"/>
      <w:marBottom w:val="0"/>
      <w:divBdr>
        <w:top w:val="none" w:sz="0" w:space="0" w:color="auto"/>
        <w:left w:val="none" w:sz="0" w:space="0" w:color="auto"/>
        <w:bottom w:val="none" w:sz="0" w:space="0" w:color="auto"/>
        <w:right w:val="none" w:sz="0" w:space="0" w:color="auto"/>
      </w:divBdr>
    </w:div>
    <w:div w:id="1400863125">
      <w:bodyDiv w:val="1"/>
      <w:marLeft w:val="0"/>
      <w:marRight w:val="0"/>
      <w:marTop w:val="0"/>
      <w:marBottom w:val="0"/>
      <w:divBdr>
        <w:top w:val="none" w:sz="0" w:space="0" w:color="auto"/>
        <w:left w:val="none" w:sz="0" w:space="0" w:color="auto"/>
        <w:bottom w:val="none" w:sz="0" w:space="0" w:color="auto"/>
        <w:right w:val="none" w:sz="0" w:space="0" w:color="auto"/>
      </w:divBdr>
    </w:div>
    <w:div w:id="1550528827">
      <w:bodyDiv w:val="1"/>
      <w:marLeft w:val="0"/>
      <w:marRight w:val="0"/>
      <w:marTop w:val="0"/>
      <w:marBottom w:val="0"/>
      <w:divBdr>
        <w:top w:val="none" w:sz="0" w:space="0" w:color="auto"/>
        <w:left w:val="none" w:sz="0" w:space="0" w:color="auto"/>
        <w:bottom w:val="none" w:sz="0" w:space="0" w:color="auto"/>
        <w:right w:val="none" w:sz="0" w:space="0" w:color="auto"/>
      </w:divBdr>
    </w:div>
    <w:div w:id="1560364005">
      <w:bodyDiv w:val="1"/>
      <w:marLeft w:val="0"/>
      <w:marRight w:val="0"/>
      <w:marTop w:val="0"/>
      <w:marBottom w:val="0"/>
      <w:divBdr>
        <w:top w:val="none" w:sz="0" w:space="0" w:color="auto"/>
        <w:left w:val="none" w:sz="0" w:space="0" w:color="auto"/>
        <w:bottom w:val="none" w:sz="0" w:space="0" w:color="auto"/>
        <w:right w:val="none" w:sz="0" w:space="0" w:color="auto"/>
      </w:divBdr>
    </w:div>
    <w:div w:id="1583757531">
      <w:bodyDiv w:val="1"/>
      <w:marLeft w:val="0"/>
      <w:marRight w:val="0"/>
      <w:marTop w:val="0"/>
      <w:marBottom w:val="0"/>
      <w:divBdr>
        <w:top w:val="none" w:sz="0" w:space="0" w:color="auto"/>
        <w:left w:val="none" w:sz="0" w:space="0" w:color="auto"/>
        <w:bottom w:val="none" w:sz="0" w:space="0" w:color="auto"/>
        <w:right w:val="none" w:sz="0" w:space="0" w:color="auto"/>
      </w:divBdr>
    </w:div>
    <w:div w:id="1647391855">
      <w:bodyDiv w:val="1"/>
      <w:marLeft w:val="0"/>
      <w:marRight w:val="0"/>
      <w:marTop w:val="0"/>
      <w:marBottom w:val="0"/>
      <w:divBdr>
        <w:top w:val="none" w:sz="0" w:space="0" w:color="auto"/>
        <w:left w:val="none" w:sz="0" w:space="0" w:color="auto"/>
        <w:bottom w:val="none" w:sz="0" w:space="0" w:color="auto"/>
        <w:right w:val="none" w:sz="0" w:space="0" w:color="auto"/>
      </w:divBdr>
    </w:div>
    <w:div w:id="1694696008">
      <w:bodyDiv w:val="1"/>
      <w:marLeft w:val="0"/>
      <w:marRight w:val="0"/>
      <w:marTop w:val="0"/>
      <w:marBottom w:val="0"/>
      <w:divBdr>
        <w:top w:val="none" w:sz="0" w:space="0" w:color="auto"/>
        <w:left w:val="none" w:sz="0" w:space="0" w:color="auto"/>
        <w:bottom w:val="none" w:sz="0" w:space="0" w:color="auto"/>
        <w:right w:val="none" w:sz="0" w:space="0" w:color="auto"/>
      </w:divBdr>
    </w:div>
    <w:div w:id="1775246867">
      <w:bodyDiv w:val="1"/>
      <w:marLeft w:val="0"/>
      <w:marRight w:val="0"/>
      <w:marTop w:val="0"/>
      <w:marBottom w:val="0"/>
      <w:divBdr>
        <w:top w:val="none" w:sz="0" w:space="0" w:color="auto"/>
        <w:left w:val="none" w:sz="0" w:space="0" w:color="auto"/>
        <w:bottom w:val="none" w:sz="0" w:space="0" w:color="auto"/>
        <w:right w:val="none" w:sz="0" w:space="0" w:color="auto"/>
      </w:divBdr>
    </w:div>
    <w:div w:id="1847788053">
      <w:bodyDiv w:val="1"/>
      <w:marLeft w:val="0"/>
      <w:marRight w:val="0"/>
      <w:marTop w:val="0"/>
      <w:marBottom w:val="0"/>
      <w:divBdr>
        <w:top w:val="none" w:sz="0" w:space="0" w:color="auto"/>
        <w:left w:val="none" w:sz="0" w:space="0" w:color="auto"/>
        <w:bottom w:val="none" w:sz="0" w:space="0" w:color="auto"/>
        <w:right w:val="none" w:sz="0" w:space="0" w:color="auto"/>
      </w:divBdr>
    </w:div>
    <w:div w:id="1857185239">
      <w:bodyDiv w:val="1"/>
      <w:marLeft w:val="0"/>
      <w:marRight w:val="0"/>
      <w:marTop w:val="0"/>
      <w:marBottom w:val="0"/>
      <w:divBdr>
        <w:top w:val="none" w:sz="0" w:space="0" w:color="auto"/>
        <w:left w:val="none" w:sz="0" w:space="0" w:color="auto"/>
        <w:bottom w:val="none" w:sz="0" w:space="0" w:color="auto"/>
        <w:right w:val="none" w:sz="0" w:space="0" w:color="auto"/>
      </w:divBdr>
    </w:div>
    <w:div w:id="1863737143">
      <w:bodyDiv w:val="1"/>
      <w:marLeft w:val="0"/>
      <w:marRight w:val="0"/>
      <w:marTop w:val="0"/>
      <w:marBottom w:val="0"/>
      <w:divBdr>
        <w:top w:val="none" w:sz="0" w:space="0" w:color="auto"/>
        <w:left w:val="none" w:sz="0" w:space="0" w:color="auto"/>
        <w:bottom w:val="none" w:sz="0" w:space="0" w:color="auto"/>
        <w:right w:val="none" w:sz="0" w:space="0" w:color="auto"/>
      </w:divBdr>
    </w:div>
    <w:div w:id="1886675877">
      <w:bodyDiv w:val="1"/>
      <w:marLeft w:val="0"/>
      <w:marRight w:val="0"/>
      <w:marTop w:val="0"/>
      <w:marBottom w:val="0"/>
      <w:divBdr>
        <w:top w:val="none" w:sz="0" w:space="0" w:color="auto"/>
        <w:left w:val="none" w:sz="0" w:space="0" w:color="auto"/>
        <w:bottom w:val="none" w:sz="0" w:space="0" w:color="auto"/>
        <w:right w:val="none" w:sz="0" w:space="0" w:color="auto"/>
      </w:divBdr>
    </w:div>
    <w:div w:id="1900357445">
      <w:bodyDiv w:val="1"/>
      <w:marLeft w:val="0"/>
      <w:marRight w:val="0"/>
      <w:marTop w:val="0"/>
      <w:marBottom w:val="0"/>
      <w:divBdr>
        <w:top w:val="none" w:sz="0" w:space="0" w:color="auto"/>
        <w:left w:val="none" w:sz="0" w:space="0" w:color="auto"/>
        <w:bottom w:val="none" w:sz="0" w:space="0" w:color="auto"/>
        <w:right w:val="none" w:sz="0" w:space="0" w:color="auto"/>
      </w:divBdr>
    </w:div>
    <w:div w:id="1914002102">
      <w:bodyDiv w:val="1"/>
      <w:marLeft w:val="0"/>
      <w:marRight w:val="0"/>
      <w:marTop w:val="0"/>
      <w:marBottom w:val="0"/>
      <w:divBdr>
        <w:top w:val="none" w:sz="0" w:space="0" w:color="auto"/>
        <w:left w:val="none" w:sz="0" w:space="0" w:color="auto"/>
        <w:bottom w:val="none" w:sz="0" w:space="0" w:color="auto"/>
        <w:right w:val="none" w:sz="0" w:space="0" w:color="auto"/>
      </w:divBdr>
    </w:div>
    <w:div w:id="1914505511">
      <w:bodyDiv w:val="1"/>
      <w:marLeft w:val="0"/>
      <w:marRight w:val="0"/>
      <w:marTop w:val="0"/>
      <w:marBottom w:val="0"/>
      <w:divBdr>
        <w:top w:val="none" w:sz="0" w:space="0" w:color="auto"/>
        <w:left w:val="none" w:sz="0" w:space="0" w:color="auto"/>
        <w:bottom w:val="none" w:sz="0" w:space="0" w:color="auto"/>
        <w:right w:val="none" w:sz="0" w:space="0" w:color="auto"/>
      </w:divBdr>
    </w:div>
    <w:div w:id="1935360750">
      <w:bodyDiv w:val="1"/>
      <w:marLeft w:val="0"/>
      <w:marRight w:val="0"/>
      <w:marTop w:val="0"/>
      <w:marBottom w:val="0"/>
      <w:divBdr>
        <w:top w:val="none" w:sz="0" w:space="0" w:color="auto"/>
        <w:left w:val="none" w:sz="0" w:space="0" w:color="auto"/>
        <w:bottom w:val="none" w:sz="0" w:space="0" w:color="auto"/>
        <w:right w:val="none" w:sz="0" w:space="0" w:color="auto"/>
      </w:divBdr>
    </w:div>
    <w:div w:id="1948000880">
      <w:bodyDiv w:val="1"/>
      <w:marLeft w:val="0"/>
      <w:marRight w:val="0"/>
      <w:marTop w:val="0"/>
      <w:marBottom w:val="0"/>
      <w:divBdr>
        <w:top w:val="none" w:sz="0" w:space="0" w:color="auto"/>
        <w:left w:val="none" w:sz="0" w:space="0" w:color="auto"/>
        <w:bottom w:val="none" w:sz="0" w:space="0" w:color="auto"/>
        <w:right w:val="none" w:sz="0" w:space="0" w:color="auto"/>
      </w:divBdr>
    </w:div>
    <w:div w:id="1986541555">
      <w:bodyDiv w:val="1"/>
      <w:marLeft w:val="0"/>
      <w:marRight w:val="0"/>
      <w:marTop w:val="0"/>
      <w:marBottom w:val="0"/>
      <w:divBdr>
        <w:top w:val="none" w:sz="0" w:space="0" w:color="auto"/>
        <w:left w:val="none" w:sz="0" w:space="0" w:color="auto"/>
        <w:bottom w:val="none" w:sz="0" w:space="0" w:color="auto"/>
        <w:right w:val="none" w:sz="0" w:space="0" w:color="auto"/>
      </w:divBdr>
    </w:div>
    <w:div w:id="2012491693">
      <w:bodyDiv w:val="1"/>
      <w:marLeft w:val="0"/>
      <w:marRight w:val="0"/>
      <w:marTop w:val="0"/>
      <w:marBottom w:val="0"/>
      <w:divBdr>
        <w:top w:val="none" w:sz="0" w:space="0" w:color="auto"/>
        <w:left w:val="none" w:sz="0" w:space="0" w:color="auto"/>
        <w:bottom w:val="none" w:sz="0" w:space="0" w:color="auto"/>
        <w:right w:val="none" w:sz="0" w:space="0" w:color="auto"/>
      </w:divBdr>
    </w:div>
    <w:div w:id="2032028299">
      <w:bodyDiv w:val="1"/>
      <w:marLeft w:val="0"/>
      <w:marRight w:val="0"/>
      <w:marTop w:val="0"/>
      <w:marBottom w:val="0"/>
      <w:divBdr>
        <w:top w:val="none" w:sz="0" w:space="0" w:color="auto"/>
        <w:left w:val="none" w:sz="0" w:space="0" w:color="auto"/>
        <w:bottom w:val="none" w:sz="0" w:space="0" w:color="auto"/>
        <w:right w:val="none" w:sz="0" w:space="0" w:color="auto"/>
      </w:divBdr>
    </w:div>
    <w:div w:id="2072271979">
      <w:bodyDiv w:val="1"/>
      <w:marLeft w:val="0"/>
      <w:marRight w:val="0"/>
      <w:marTop w:val="0"/>
      <w:marBottom w:val="0"/>
      <w:divBdr>
        <w:top w:val="none" w:sz="0" w:space="0" w:color="auto"/>
        <w:left w:val="none" w:sz="0" w:space="0" w:color="auto"/>
        <w:bottom w:val="none" w:sz="0" w:space="0" w:color="auto"/>
        <w:right w:val="none" w:sz="0" w:space="0" w:color="auto"/>
      </w:divBdr>
    </w:div>
    <w:div w:id="2087608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ao.wa.gov/bars_gaap/charts-of-accounts/bars-account-export-2/bars-account-expor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asb.org/jsp/FASB/Page/SectionPage&amp;cid=1176169699514"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pa.virginia.gov/Comp_Report_Cover.asp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F0941CBF216E44EBD1CBE431CDDD8F0" ma:contentTypeVersion="1" ma:contentTypeDescription="Create a new document." ma:contentTypeScope="" ma:versionID="fe8b47372eb902583c852c83189759fb">
  <xsd:schema xmlns:xsd="http://www.w3.org/2001/XMLSchema" xmlns:xs="http://www.w3.org/2001/XMLSchema" xmlns:p="http://schemas.microsoft.com/office/2006/metadata/properties" xmlns:ns3="a3b92ac2-b8d4-4f53-a3cb-c1704275ae9c" targetNamespace="http://schemas.microsoft.com/office/2006/metadata/properties" ma:root="true" ma:fieldsID="c45e2be0f4bfdec5fa9fc3f6b503a0ae" ns3:_="">
    <xsd:import namespace="a3b92ac2-b8d4-4f53-a3cb-c1704275ae9c"/>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b92ac2-b8d4-4f53-a3cb-c1704275ae9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974236-964B-4878-97C4-2A81B5D13D25}">
  <ds:schemaRefs>
    <ds:schemaRef ds:uri="http://schemas.microsoft.com/sharepoint/v3/contenttype/forms"/>
  </ds:schemaRefs>
</ds:datastoreItem>
</file>

<file path=customXml/itemProps2.xml><?xml version="1.0" encoding="utf-8"?>
<ds:datastoreItem xmlns:ds="http://schemas.openxmlformats.org/officeDocument/2006/customXml" ds:itemID="{DC73B0AF-C52E-4629-9713-F1D2276FCF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b92ac2-b8d4-4f53-a3cb-c1704275ae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241484-405F-49DD-8901-526130C12EF8}">
  <ds:schemaRefs>
    <ds:schemaRef ds:uri="http://schemas.microsoft.com/office/infopath/2007/PartnerControls"/>
    <ds:schemaRef ds:uri="http://purl.org/dc/terms/"/>
    <ds:schemaRef ds:uri="http://schemas.microsoft.com/office/2006/documentManagement/types"/>
    <ds:schemaRef ds:uri="http://purl.org/dc/elements/1.1/"/>
    <ds:schemaRef ds:uri="http://schemas.openxmlformats.org/package/2006/metadata/core-properties"/>
    <ds:schemaRef ds:uri="a3b92ac2-b8d4-4f53-a3cb-c1704275ae9c"/>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769F65BA-C4D3-4525-B5D4-C32A35E69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4478</Words>
  <Characters>25130</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National Association of State Comptrollers</vt:lpstr>
    </vt:vector>
  </TitlesOfParts>
  <Company> </Company>
  <LinksUpToDate>false</LinksUpToDate>
  <CharactersWithSpaces>29549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Association of State Comptrollers</dc:title>
  <dc:subject/>
  <dc:creator>Sherri Rowland</dc:creator>
  <cp:keywords/>
  <dc:description/>
  <cp:lastModifiedBy>Kinney Poynter</cp:lastModifiedBy>
  <cp:revision>2</cp:revision>
  <cp:lastPrinted>2019-03-19T17:43:00Z</cp:lastPrinted>
  <dcterms:created xsi:type="dcterms:W3CDTF">2019-03-19T18:43:00Z</dcterms:created>
  <dcterms:modified xsi:type="dcterms:W3CDTF">2019-03-19T18:43:00Z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0x010100EF0941CBF216E44EBD1CBE431CDDD8F0</vt:lpwstr>
  </property>
</Properties>
</file>